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Cambria" w:hAnsi="Cambria" w:cs="Cambria" w:cstheme="majorHAnsi"/>
          <w:b/>
          <w:sz w:val="28"/>
          <w:szCs w:val="28"/>
        </w:rPr>
      </w:pPr>
      <w:r>
        <w:rPr>
          <w:rFonts w:cs="Cambria" w:cstheme="majorHAnsi" w:ascii="Cambria" w:hAnsi="Cambria"/>
          <w:b/>
          <w:sz w:val="28"/>
          <w:szCs w:val="28"/>
        </w:rPr>
      </w:r>
    </w:p>
    <w:p>
      <w:pPr>
        <w:pStyle w:val="Normal"/>
        <w:jc w:val="center"/>
        <w:rPr>
          <w:rFonts w:ascii="Cambria" w:hAnsi="Cambria" w:cs="Cambria" w:cstheme="majorHAnsi"/>
          <w:b/>
          <w:sz w:val="28"/>
          <w:szCs w:val="28"/>
        </w:rPr>
      </w:pPr>
      <w:r>
        <w:rPr>
          <w:rFonts w:cs="Cambria" w:ascii="Cambria" w:hAnsi="Cambria" w:cstheme="majorHAnsi"/>
          <w:b/>
          <w:sz w:val="28"/>
          <w:szCs w:val="28"/>
        </w:rPr>
        <w:t>KİŞİSEL VERİLERİN KORUNMASI VE İŞLENMESİ POLİTİKASI</w:t>
      </w:r>
    </w:p>
    <w:p>
      <w:pPr>
        <w:pStyle w:val="Title"/>
        <w:pBdr>
          <w:bottom w:val="single" w:sz="8" w:space="0" w:color="4F81BD"/>
        </w:pBdr>
        <w:spacing w:before="0" w:after="0"/>
        <w:contextualSpacing/>
        <w:jc w:val="both"/>
        <w:rPr>
          <w:rFonts w:ascii="Cambria" w:hAnsi="Cambria" w:eastAsia="Calibri" w:cs="Cambria" w:cstheme="majorHAnsi"/>
          <w:b/>
          <w:color w:val="auto"/>
          <w:spacing w:val="0"/>
          <w:kern w:val="0"/>
          <w:sz w:val="28"/>
          <w:szCs w:val="28"/>
        </w:rPr>
      </w:pPr>
      <w:r>
        <w:rPr>
          <w:rFonts w:eastAsia="Calibri" w:cs="Cambria" w:cstheme="majorHAnsi"/>
          <w:b/>
          <w:color w:themeColor="text2" w:themeShade="bf" w:val="auto"/>
          <w:spacing w:val="0"/>
          <w:kern w:val="0"/>
          <w:sz w:val="28"/>
          <w:szCs w:val="28"/>
        </w:rPr>
      </w:r>
    </w:p>
    <w:p>
      <w:pPr>
        <w:pStyle w:val="Title"/>
        <w:pBdr>
          <w:bottom w:val="single" w:sz="8" w:space="0" w:color="4F81BD"/>
        </w:pBdr>
        <w:spacing w:before="0" w:after="0"/>
        <w:contextualSpacing/>
        <w:jc w:val="both"/>
        <w:rPr>
          <w:rStyle w:val="BookTitle"/>
          <w:color w:themeColor="text1" w:val="000000"/>
          <w:sz w:val="26"/>
          <w:szCs w:val="26"/>
        </w:rPr>
      </w:pPr>
      <w:r>
        <w:rPr>
          <w:b/>
          <w:color w:themeColor="text1" w:val="000000"/>
          <w:sz w:val="26"/>
          <w:szCs w:val="26"/>
        </w:rPr>
        <w:t>1. GİRİŞ</w:t>
      </w:r>
    </w:p>
    <w:p>
      <w:pPr>
        <w:pStyle w:val="Normal"/>
        <w:spacing w:lineRule="auto" w:line="264"/>
        <w:ind w:firstLine="36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jc w:val="both"/>
        <w:rPr>
          <w:rFonts w:ascii="Cambria" w:hAnsi="Cambria" w:cs="Cambria" w:cstheme="majorHAnsi"/>
          <w:b/>
          <w:sz w:val="24"/>
          <w:szCs w:val="24"/>
        </w:rPr>
      </w:pPr>
      <w:r>
        <w:rPr>
          <w:rFonts w:cs="Calibri" w:ascii="Cambria" w:hAnsi="Cambria"/>
          <w:sz w:val="24"/>
          <w:szCs w:val="24"/>
        </w:rPr>
        <w:t xml:space="preserve">Kişisel verilerin korunması, </w:t>
      </w:r>
      <w:r>
        <w:rPr>
          <w:rFonts w:cs="Calibri" w:ascii="Cambria" w:hAnsi="Cambria" w:asciiTheme="majorHAnsi" w:hAnsiTheme="majorHAnsi"/>
          <w:b w:val="false"/>
          <w:i w:val="false"/>
          <w:caps w:val="false"/>
          <w:smallCaps w:val="false"/>
          <w:color w:val="333333"/>
          <w:spacing w:val="0"/>
          <w:sz w:val="22"/>
          <w:szCs w:val="22"/>
          <w:lang w:eastAsia="tr-TR"/>
        </w:rPr>
        <w:t>Seyran Koltuk Mobilya Tekstil Nakliye İnşaat Gıda Maddeleri Sanayi Ve Ticaret Anonim Şirketi</w:t>
      </w:r>
      <w:r>
        <w:rPr>
          <w:rFonts w:cs="Calibri" w:ascii="Cambria" w:hAnsi="Cambria" w:asciiTheme="majorHAnsi" w:hAnsiTheme="majorHAnsi"/>
          <w:sz w:val="24"/>
          <w:szCs w:val="24"/>
          <w:lang w:eastAsia="tr-TR"/>
        </w:rPr>
        <w:t xml:space="preserve"> </w:t>
      </w:r>
      <w:r>
        <w:rPr>
          <w:rFonts w:cs="Calibri" w:ascii="Cambria" w:hAnsi="Cambria" w:asciiTheme="majorHAnsi" w:hAnsiTheme="majorHAnsi"/>
          <w:sz w:val="24"/>
          <w:szCs w:val="24"/>
        </w:rPr>
        <w:t xml:space="preserve"> (“Seyran Koltuk”)</w:t>
      </w:r>
      <w:r>
        <w:rPr/>
        <w:t xml:space="preserve"> </w:t>
      </w:r>
      <w:r>
        <w:rPr>
          <w:rFonts w:cs="Calibri" w:ascii="Cambria" w:hAnsi="Cambria"/>
          <w:sz w:val="24"/>
          <w:szCs w:val="24"/>
        </w:rPr>
        <w:t xml:space="preserve">en önemli öncelikleri arasındadır. SEYRAN KOLTUK, bu hususta yürürlükte bulunan tüm mevzuata uygun davranmak için azami gayreti göstermektedir.  İşbu Seyran Koltuk </w:t>
      </w:r>
      <w:r>
        <w:rPr>
          <w:rFonts w:ascii="Cambria" w:hAnsi="Cambria" w:asciiTheme="majorHAnsi" w:hAnsiTheme="majorHAnsi"/>
          <w:sz w:val="24"/>
          <w:szCs w:val="24"/>
        </w:rPr>
        <w:t xml:space="preserve">İnce </w:t>
      </w:r>
      <w:r>
        <w:rPr>
          <w:rFonts w:cs="Calibri" w:ascii="Cambria" w:hAnsi="Cambria"/>
          <w:sz w:val="24"/>
          <w:szCs w:val="24"/>
        </w:rPr>
        <w:t>Kişisel Verilerin Korunması ve İşlenmesi Politikası (“</w:t>
      </w:r>
      <w:r>
        <w:rPr>
          <w:rFonts w:cs="Calibri" w:ascii="Cambria" w:hAnsi="Cambria"/>
          <w:b/>
          <w:bCs/>
          <w:sz w:val="24"/>
          <w:szCs w:val="24"/>
        </w:rPr>
        <w:t>Politika</w:t>
      </w:r>
      <w:r>
        <w:rPr>
          <w:rFonts w:cs="Calibri" w:ascii="Cambria" w:hAnsi="Cambria"/>
          <w:sz w:val="24"/>
          <w:szCs w:val="24"/>
        </w:rPr>
        <w:t>”) çerçevesinde Seyran Koltuk tarafından gerçekleştirilen kişisel veri işleme faaliyetlerinin yürütülmesinde benimsenen ilkeler ve Seyran Koltuk ‘un veri işleme faaliyetlerinin 6698 sayılı Kişisel Verilerin Korunması Kanunu’nda (“</w:t>
      </w:r>
      <w:r>
        <w:rPr>
          <w:rFonts w:cs="Calibri" w:ascii="Cambria" w:hAnsi="Cambria"/>
          <w:b/>
          <w:bCs/>
          <w:sz w:val="24"/>
          <w:szCs w:val="24"/>
        </w:rPr>
        <w:t>Kanun</w:t>
      </w:r>
      <w:r>
        <w:rPr>
          <w:rFonts w:cs="Calibri" w:ascii="Cambria" w:hAnsi="Cambria"/>
          <w:sz w:val="24"/>
          <w:szCs w:val="24"/>
        </w:rPr>
        <w:t>” veya ''</w:t>
      </w:r>
      <w:r>
        <w:rPr>
          <w:rFonts w:cs="Calibri" w:ascii="Cambria" w:hAnsi="Cambria"/>
          <w:b/>
          <w:sz w:val="24"/>
          <w:szCs w:val="24"/>
        </w:rPr>
        <w:t>KVKK</w:t>
      </w:r>
      <w:r>
        <w:rPr>
          <w:rFonts w:cs="Calibri" w:ascii="Cambria" w:hAnsi="Cambria"/>
          <w:sz w:val="24"/>
          <w:szCs w:val="24"/>
        </w:rPr>
        <w:t>'') yer alan düzenlemelere uyumu bakımından benimsenen temel prensipler açıklanmaktadır.</w:t>
      </w:r>
    </w:p>
    <w:p>
      <w:pPr>
        <w:pStyle w:val="Default"/>
        <w:jc w:val="both"/>
        <w:rPr>
          <w:rFonts w:cs="Calibri"/>
          <w:color w:val="auto"/>
          <w:sz w:val="22"/>
          <w:szCs w:val="22"/>
        </w:rPr>
      </w:pPr>
      <w:r>
        <w:rPr>
          <w:rFonts w:cs="Calibri"/>
          <w:color w:val="auto"/>
          <w:sz w:val="22"/>
          <w:szCs w:val="22"/>
        </w:rPr>
      </w:r>
    </w:p>
    <w:p>
      <w:pPr>
        <w:pStyle w:val="Subtitle"/>
        <w:rPr>
          <w:rFonts w:ascii="Cambria" w:hAnsi="Cambria"/>
          <w:b/>
          <w:i w:val="false"/>
          <w:i w:val="false"/>
          <w:color w:themeColor="text1" w:val="000000"/>
          <w:spacing w:val="14"/>
        </w:rPr>
      </w:pPr>
      <w:r>
        <w:rPr>
          <w:b/>
          <w:i w:val="false"/>
          <w:color w:themeColor="text1" w:val="000000"/>
          <w:spacing w:val="14"/>
          <w:position w:val="8"/>
        </w:rPr>
        <w:t>1.2 Amaç</w:t>
      </w:r>
    </w:p>
    <w:p>
      <w:pPr>
        <w:pStyle w:val="Normal"/>
        <w:rPr/>
      </w:pPr>
      <w:r>
        <w:rPr/>
      </w:r>
    </w:p>
    <w:p>
      <w:pPr>
        <w:pStyle w:val="Default"/>
        <w:jc w:val="both"/>
        <w:rPr>
          <w:rFonts w:cs="Calibri"/>
          <w:color w:val="auto"/>
        </w:rPr>
      </w:pPr>
      <w:r>
        <w:rPr>
          <w:rFonts w:cs="Calibri"/>
          <w:color w:val="auto"/>
        </w:rPr>
        <w:t xml:space="preserve">İşbu Politika; kişisel verilerin korunması konusunda KVKK'ya uyum sağlamak amacıyla </w:t>
      </w:r>
      <w:r>
        <w:rPr>
          <w:rFonts w:cs="Calibri"/>
          <w:color w:val="auto"/>
          <w:sz w:val="24"/>
          <w:szCs w:val="24"/>
        </w:rPr>
        <w:t>SEYRAN KOLTUK</w:t>
      </w:r>
      <w:r>
        <w:rPr>
          <w:rFonts w:cs="Calibri"/>
          <w:color w:val="auto"/>
        </w:rPr>
        <w:t xml:space="preserve"> tarafından yürütülecek uyum faaliyetlerinin yönetilmesini sağlamak amacıyla hazırlanmıştır. </w:t>
      </w:r>
    </w:p>
    <w:p>
      <w:pPr>
        <w:pStyle w:val="Default"/>
        <w:jc w:val="both"/>
        <w:rPr>
          <w:rFonts w:cs="Calibri"/>
          <w:color w:val="auto"/>
        </w:rPr>
      </w:pPr>
      <w:r>
        <w:rPr>
          <w:rFonts w:cs="Calibri"/>
          <w:color w:val="auto"/>
        </w:rPr>
      </w:r>
    </w:p>
    <w:p>
      <w:pPr>
        <w:pStyle w:val="Default"/>
        <w:jc w:val="both"/>
        <w:rPr>
          <w:rFonts w:cs="Calibri"/>
          <w:color w:val="auto"/>
        </w:rPr>
      </w:pPr>
      <w:r>
        <w:rPr>
          <w:rFonts w:cs="Calibri"/>
          <w:color w:val="auto"/>
          <w:sz w:val="24"/>
          <w:szCs w:val="24"/>
        </w:rPr>
        <w:t>SEYRAN KOLTUK</w:t>
      </w:r>
      <w:r>
        <w:rPr>
          <w:rFonts w:cs="Calibri"/>
          <w:color w:val="auto"/>
        </w:rPr>
        <w:t>, işbu Politikada belirlenen ilkeler doğrultusunda, kişisel verilerin hukuka uygun olarak korunması ve işlenmesi için gerekli düzenlemeleri yapacak, çalışanlarının ve iş ortaklarının bu hususta farkındalıklarının oluşması için gerekli sistemi kuracaktır.</w:t>
      </w:r>
    </w:p>
    <w:p>
      <w:pPr>
        <w:pStyle w:val="Default"/>
        <w:jc w:val="both"/>
        <w:rPr>
          <w:rFonts w:cs="Calibri"/>
          <w:color w:val="auto"/>
          <w:sz w:val="22"/>
          <w:szCs w:val="22"/>
        </w:rPr>
      </w:pPr>
      <w:r>
        <w:rPr>
          <w:rFonts w:cs="Calibri"/>
          <w:color w:val="auto"/>
          <w:sz w:val="22"/>
          <w:szCs w:val="22"/>
        </w:rPr>
      </w:r>
    </w:p>
    <w:p>
      <w:pPr>
        <w:pStyle w:val="Subtitle"/>
        <w:rPr>
          <w:rFonts w:ascii="Cambria" w:hAnsi="Cambria"/>
          <w:b/>
          <w:i w:val="false"/>
          <w:i w:val="false"/>
          <w:color w:themeColor="text1" w:val="000000"/>
        </w:rPr>
      </w:pPr>
      <w:r>
        <w:rPr>
          <w:b/>
          <w:i w:val="false"/>
          <w:color w:themeColor="text1" w:val="000000"/>
        </w:rPr>
        <w:t>1.3. Kapsam</w:t>
      </w:r>
    </w:p>
    <w:p>
      <w:pPr>
        <w:pStyle w:val="Default"/>
        <w:jc w:val="both"/>
        <w:rPr>
          <w:rFonts w:cs="Calibri"/>
          <w:color w:val="auto"/>
          <w:sz w:val="22"/>
          <w:szCs w:val="22"/>
        </w:rPr>
      </w:pPr>
      <w:r>
        <w:rPr>
          <w:rFonts w:cs="Calibri"/>
          <w:color w:val="auto"/>
          <w:sz w:val="22"/>
          <w:szCs w:val="22"/>
        </w:rPr>
      </w:r>
    </w:p>
    <w:p>
      <w:pPr>
        <w:pStyle w:val="Default"/>
        <w:jc w:val="both"/>
        <w:rPr>
          <w:rFonts w:cs="Calibri"/>
          <w:color w:val="auto"/>
        </w:rPr>
      </w:pPr>
      <w:r>
        <w:rPr>
          <w:rFonts w:cs="Calibri"/>
          <w:color w:val="auto"/>
        </w:rPr>
        <w:t xml:space="preserve">İşbu Politika; çalışanlarımız, çalışan adaylarımız, </w:t>
      </w:r>
      <w:r>
        <w:rPr>
          <w:rFonts w:cs="Calibri"/>
          <w:color w:val="auto"/>
          <w:sz w:val="24"/>
          <w:szCs w:val="24"/>
        </w:rPr>
        <w:t>Seyran Koltuk</w:t>
      </w:r>
      <w:r>
        <w:rPr>
          <w:rFonts w:cs="Calibri"/>
          <w:color w:val="auto"/>
        </w:rPr>
        <w:t xml:space="preserve"> yetkililerimiz, </w:t>
      </w:r>
      <w:r>
        <w:rPr>
          <w:rFonts w:cs="Calibri"/>
          <w:color w:val="auto"/>
          <w:sz w:val="24"/>
          <w:szCs w:val="24"/>
        </w:rPr>
        <w:t>Seyran Koltuk</w:t>
      </w:r>
      <w:r>
        <w:rPr>
          <w:rFonts w:cs="Calibri"/>
          <w:color w:val="auto"/>
        </w:rPr>
        <w:t xml:space="preserve"> hissedarlarımız, müşterilerimiz, ziyaretçilerimiz, işbirliği içinde olduğumuz kurumların çalışanları, hissedarları ve yetkilileri ile üçüncü kişiler başta olmak üzere kişisel verileri </w:t>
      </w:r>
      <w:r>
        <w:rPr>
          <w:rFonts w:cs="Calibri"/>
          <w:color w:val="auto"/>
          <w:sz w:val="24"/>
          <w:szCs w:val="24"/>
        </w:rPr>
        <w:t>Seyran Koltuk</w:t>
      </w:r>
      <w:r>
        <w:rPr>
          <w:rFonts w:cs="Calibri"/>
          <w:color w:val="auto"/>
        </w:rPr>
        <w:t xml:space="preserve"> tarafından işlenen kişilerin tamamen veya kısmen otomatik olan ya da herhangi bir veri kayıt sisteminin parçası olmak kaydıyla otomatik olmayan yollarla işlenen tüm kişisel verilerine ilişkindir. </w:t>
      </w:r>
    </w:p>
    <w:p>
      <w:pPr>
        <w:pStyle w:val="Default"/>
        <w:jc w:val="both"/>
        <w:rPr>
          <w:rFonts w:cs="Calibri"/>
          <w:color w:val="auto"/>
        </w:rPr>
      </w:pPr>
      <w:r>
        <w:rPr>
          <w:rFonts w:cs="Calibri"/>
          <w:color w:val="auto"/>
        </w:rPr>
      </w:r>
    </w:p>
    <w:p>
      <w:pPr>
        <w:pStyle w:val="Default"/>
        <w:spacing w:before="0" w:after="240"/>
        <w:jc w:val="both"/>
        <w:rPr>
          <w:rFonts w:cs="Calibri"/>
          <w:b/>
          <w:color w:themeColor="text1" w:val="000000"/>
        </w:rPr>
      </w:pPr>
      <w:r>
        <w:rPr>
          <w:rFonts w:cs="Calibri"/>
          <w:b/>
          <w:color w:themeColor="text1" w:val="000000"/>
        </w:rPr>
        <w:t>1.4. Politika'nın Uygulanması ve Yürürlüğü</w:t>
      </w:r>
    </w:p>
    <w:p>
      <w:pPr>
        <w:pStyle w:val="Default"/>
        <w:spacing w:before="0" w:after="240"/>
        <w:jc w:val="both"/>
        <w:rPr>
          <w:rFonts w:cs="Calibri"/>
          <w:color w:val="auto"/>
        </w:rPr>
      </w:pPr>
      <w:r>
        <w:rPr>
          <w:rFonts w:cs="Calibri"/>
          <w:color w:val="auto"/>
        </w:rPr>
        <w:t xml:space="preserve">Kişisel verilerin işlenmesi ve korunması konusunda yürürlükte bulunan ilgili kanuni düzenlemeler öncelikle uygulama alanı bulacaktır. Yürürlükte bulunan mevzuat ve Politika arasında uyumsuzluk bulunması durumunda, </w:t>
      </w:r>
      <w:r>
        <w:rPr>
          <w:rFonts w:cs="Calibri"/>
          <w:color w:val="auto"/>
          <w:sz w:val="24"/>
          <w:szCs w:val="24"/>
        </w:rPr>
        <w:t>Seyran Koltuk</w:t>
      </w:r>
      <w:r>
        <w:rPr>
          <w:rFonts w:cs="Calibri"/>
          <w:color w:val="auto"/>
        </w:rPr>
        <w:t xml:space="preserve"> yürürlükteki mevzuatın uygulama alanı bulacağını kabul etmektedir.</w:t>
      </w:r>
    </w:p>
    <w:p>
      <w:pPr>
        <w:pStyle w:val="Default"/>
        <w:spacing w:before="0" w:after="240"/>
        <w:jc w:val="both"/>
        <w:rPr>
          <w:rFonts w:cs="Calibri"/>
          <w:color w:val="auto"/>
        </w:rPr>
      </w:pPr>
      <w:r>
        <w:rPr>
          <w:rFonts w:cs="Calibri"/>
          <w:color w:val="auto"/>
        </w:rPr>
        <w:t xml:space="preserve">İşbu Politika’nın yürürlük tarihi 30.12.2021'dir. </w:t>
      </w:r>
    </w:p>
    <w:p>
      <w:pPr>
        <w:pStyle w:val="Default"/>
        <w:spacing w:before="0" w:after="240"/>
        <w:jc w:val="both"/>
        <w:rPr>
          <w:rFonts w:cs="Calibri"/>
          <w:color w:val="auto"/>
        </w:rPr>
      </w:pPr>
      <w:r>
        <w:rPr>
          <w:rFonts w:cs="Calibri"/>
          <w:color w:val="auto"/>
        </w:rPr>
      </w:r>
    </w:p>
    <w:p>
      <w:pPr>
        <w:pStyle w:val="Default"/>
        <w:spacing w:before="0" w:after="240"/>
        <w:jc w:val="both"/>
        <w:rPr>
          <w:rFonts w:cs="Calibri"/>
          <w:color w:val="auto"/>
        </w:rPr>
      </w:pPr>
      <w:r>
        <w:rPr>
          <w:rFonts w:cs="Calibri"/>
          <w:color w:val="auto"/>
        </w:rPr>
      </w:r>
    </w:p>
    <w:p>
      <w:pPr>
        <w:pStyle w:val="Title"/>
        <w:rPr>
          <w:rFonts w:ascii="Cambria" w:hAnsi="Cambria"/>
          <w:b/>
          <w:color w:themeColor="text1" w:val="000000"/>
          <w:sz w:val="24"/>
          <w:szCs w:val="24"/>
        </w:rPr>
      </w:pPr>
      <w:r>
        <w:rPr>
          <w:b/>
          <w:color w:themeColor="text1" w:val="000000"/>
          <w:sz w:val="24"/>
          <w:szCs w:val="24"/>
        </w:rPr>
      </w:r>
    </w:p>
    <w:p>
      <w:pPr>
        <w:pStyle w:val="Title"/>
        <w:rPr>
          <w:rFonts w:ascii="Cambria" w:hAnsi="Cambria"/>
          <w:b/>
          <w:color w:themeColor="text1" w:val="000000"/>
          <w:sz w:val="24"/>
          <w:szCs w:val="24"/>
        </w:rPr>
      </w:pPr>
      <w:r>
        <w:rPr>
          <w:b/>
          <w:color w:themeColor="text1" w:val="000000"/>
          <w:sz w:val="24"/>
          <w:szCs w:val="24"/>
        </w:rPr>
      </w:r>
    </w:p>
    <w:p>
      <w:pPr>
        <w:pStyle w:val="Title"/>
        <w:rPr>
          <w:rFonts w:ascii="Cambria" w:hAnsi="Cambria"/>
          <w:b/>
          <w:color w:themeColor="text1" w:val="000000"/>
          <w:sz w:val="24"/>
          <w:szCs w:val="24"/>
        </w:rPr>
      </w:pPr>
      <w:r>
        <w:rPr>
          <w:b/>
          <w:color w:themeColor="text1" w:val="000000"/>
          <w:sz w:val="24"/>
          <w:szCs w:val="24"/>
        </w:rPr>
      </w:r>
    </w:p>
    <w:p>
      <w:pPr>
        <w:pStyle w:val="Title"/>
        <w:rPr>
          <w:rFonts w:ascii="Cambria" w:hAnsi="Cambria"/>
          <w:b/>
          <w:color w:themeColor="text1" w:val="000000"/>
          <w:sz w:val="24"/>
          <w:szCs w:val="24"/>
        </w:rPr>
      </w:pPr>
      <w:r>
        <w:rPr>
          <w:b/>
          <w:color w:themeColor="text1" w:val="000000"/>
          <w:sz w:val="24"/>
          <w:szCs w:val="24"/>
        </w:rPr>
        <w:t>2. KİŞİSEL VERİLERİN İŞLENMESİNE İLİŞKİN HUSUSLAR</w:t>
      </w:r>
    </w:p>
    <w:p>
      <w:pPr>
        <w:pStyle w:val="Normal"/>
        <w:jc w:val="both"/>
        <w:rPr>
          <w:rFonts w:ascii="Cambria" w:hAnsi="Cambria"/>
          <w:sz w:val="24"/>
          <w:szCs w:val="24"/>
        </w:rPr>
      </w:pPr>
      <w:r>
        <w:rPr>
          <w:rFonts w:ascii="Cambria" w:hAnsi="Cambria"/>
          <w:sz w:val="24"/>
          <w:szCs w:val="24"/>
        </w:rPr>
        <w:t xml:space="preserve">İşbu politika, </w:t>
      </w:r>
      <w:r>
        <w:rPr>
          <w:rFonts w:cs="Calibri" w:ascii="Cambria" w:hAnsi="Cambria"/>
          <w:sz w:val="24"/>
          <w:szCs w:val="24"/>
        </w:rPr>
        <w:t>SEYRAN KOLTUK</w:t>
      </w:r>
      <w:r>
        <w:rPr>
          <w:rFonts w:ascii="Cambria" w:hAnsi="Cambria"/>
          <w:sz w:val="24"/>
          <w:szCs w:val="24"/>
        </w:rPr>
        <w:t xml:space="preserve"> 'in KVKK ve ilgili mevzuatta düzenlenen kuralları nasıl uygulayacağına ilişkin rehber niteliğindedir.</w:t>
      </w:r>
    </w:p>
    <w:p>
      <w:pPr>
        <w:pStyle w:val="Normal"/>
        <w:jc w:val="both"/>
        <w:rPr>
          <w:rFonts w:ascii="Cambria" w:hAnsi="Cambria"/>
          <w:sz w:val="22"/>
          <w:szCs w:val="22"/>
        </w:rPr>
      </w:pPr>
      <w:r>
        <w:rPr>
          <w:rFonts w:ascii="Cambria" w:hAnsi="Cambria"/>
          <w:sz w:val="22"/>
          <w:szCs w:val="22"/>
        </w:rPr>
      </w:r>
    </w:p>
    <w:p>
      <w:pPr>
        <w:pStyle w:val="Normal"/>
        <w:jc w:val="both"/>
        <w:rPr>
          <w:rFonts w:ascii="Cambria" w:hAnsi="Cambria"/>
          <w:sz w:val="24"/>
          <w:szCs w:val="24"/>
        </w:rPr>
      </w:pPr>
      <w:r>
        <w:rPr>
          <w:rFonts w:cs="Calibri" w:ascii="Cambria" w:hAnsi="Cambria"/>
          <w:sz w:val="24"/>
          <w:szCs w:val="24"/>
        </w:rPr>
        <w:t>Seyran Koltuk</w:t>
      </w:r>
      <w:r>
        <w:rPr>
          <w:rFonts w:ascii="Cambria" w:hAnsi="Cambria"/>
          <w:sz w:val="24"/>
          <w:szCs w:val="24"/>
        </w:rPr>
        <w:t>, Anayasa'nın 20. maddesine ve KVKK'nın 4. maddesine uygun olarak kişisel verilerin işlenmesi konusunda; hukuka ve dürüstlük kurallarına uygun; doğru ve güncel; belirli, açık ve meşru amaçlar güderek; amaçla bağlantılı, sınırlı ve ölçülü bir biçimde kişisel veri işleme faaliyetinde bulunmaktadır.</w:t>
      </w:r>
    </w:p>
    <w:p>
      <w:pPr>
        <w:pStyle w:val="Normal"/>
        <w:jc w:val="both"/>
        <w:rPr/>
      </w:pPr>
      <w:r>
        <w:rPr/>
      </w:r>
    </w:p>
    <w:p>
      <w:pPr>
        <w:pStyle w:val="Normal"/>
        <w:jc w:val="both"/>
        <w:rPr/>
      </w:pPr>
      <w:r>
        <w:rPr/>
      </w:r>
    </w:p>
    <w:p>
      <w:pPr>
        <w:pStyle w:val="Normal"/>
        <w:jc w:val="both"/>
        <w:rPr/>
      </w:pPr>
      <w:r>
        <w:rPr/>
      </w:r>
    </w:p>
    <w:p>
      <w:pPr>
        <w:pStyle w:val="Title"/>
        <w:rPr>
          <w:rFonts w:ascii="Cambria" w:hAnsi="Cambria"/>
          <w:b/>
          <w:color w:themeColor="text1" w:val="000000"/>
          <w:sz w:val="22"/>
          <w:szCs w:val="22"/>
        </w:rPr>
      </w:pPr>
      <w:r>
        <w:rPr>
          <w:b/>
          <w:color w:themeColor="text1" w:val="000000"/>
          <w:sz w:val="22"/>
          <w:szCs w:val="22"/>
        </w:rPr>
        <w:t>3. KİŞİSEL VERİLERİN MEVZUATA UYGUN OLARAK İŞLENMESİ</w:t>
      </w:r>
    </w:p>
    <w:p>
      <w:pPr>
        <w:pStyle w:val="Default"/>
        <w:jc w:val="both"/>
        <w:rPr>
          <w:rFonts w:cs="Calibri"/>
          <w:b/>
          <w:bCs/>
          <w:color w:themeColor="text1" w:val="000000"/>
        </w:rPr>
      </w:pPr>
      <w:r>
        <w:rPr>
          <w:rFonts w:cs="Calibri"/>
          <w:b/>
          <w:bCs/>
          <w:color w:themeColor="text1" w:val="000000"/>
        </w:rPr>
        <w:t xml:space="preserve">3.1. Hukuka ve Dürüstlük Kuralına Uygun İşleme </w:t>
      </w:r>
    </w:p>
    <w:p>
      <w:pPr>
        <w:pStyle w:val="Default"/>
        <w:jc w:val="both"/>
        <w:rPr>
          <w:rFonts w:cs="Calibri"/>
          <w:color w:val="C00000"/>
          <w:sz w:val="22"/>
          <w:szCs w:val="22"/>
        </w:rPr>
      </w:pPr>
      <w:r>
        <w:rPr>
          <w:rFonts w:cs="Calibri"/>
          <w:color w:val="C00000"/>
          <w:sz w:val="22"/>
          <w:szCs w:val="22"/>
        </w:rPr>
      </w:r>
    </w:p>
    <w:p>
      <w:pPr>
        <w:pStyle w:val="Normal"/>
        <w:jc w:val="both"/>
        <w:rPr>
          <w:rFonts w:ascii="Cambria" w:hAnsi="Cambria" w:cs="Calibri"/>
          <w:sz w:val="24"/>
          <w:szCs w:val="24"/>
        </w:rPr>
      </w:pPr>
      <w:r>
        <w:rPr>
          <w:rFonts w:cs="Calibri" w:ascii="Cambria" w:hAnsi="Cambria"/>
          <w:sz w:val="24"/>
          <w:szCs w:val="24"/>
        </w:rPr>
        <w:t>SEYRAN KOLTUK, kişisel verilerin işlenmesinde hukuksal düzenlemelerle getirilen ilkeler ile genel güven ve dürüstlük kuralına uygun hareket etmektedir. Bu çerçevede, kişisel veriler Seyran Koltuk ‘un iş faaliyetlerinin gerektirdiği ölçüde ve bunlarla sınırlı olarak işlenmektedir</w:t>
      </w:r>
    </w:p>
    <w:p>
      <w:pPr>
        <w:pStyle w:val="Normal"/>
        <w:jc w:val="both"/>
        <w:rPr>
          <w:rFonts w:cs="Calibri"/>
          <w:sz w:val="22"/>
          <w:szCs w:val="22"/>
        </w:rPr>
      </w:pPr>
      <w:r>
        <w:rPr>
          <w:rFonts w:cs="Calibri"/>
          <w:sz w:val="22"/>
          <w:szCs w:val="22"/>
        </w:rPr>
      </w:r>
    </w:p>
    <w:p>
      <w:pPr>
        <w:pStyle w:val="Normal"/>
        <w:tabs>
          <w:tab w:val="clear" w:pos="708"/>
          <w:tab w:val="left" w:pos="683" w:leader="none"/>
        </w:tabs>
        <w:spacing w:lineRule="atLeast" w:line="0" w:before="0" w:after="240"/>
        <w:jc w:val="both"/>
        <w:rPr>
          <w:rFonts w:ascii="Cambria" w:hAnsi="Cambria" w:cs="Times New Roman"/>
          <w:b/>
          <w:color w:themeColor="text1" w:val="000000"/>
          <w:sz w:val="24"/>
          <w:szCs w:val="24"/>
        </w:rPr>
      </w:pPr>
      <w:r>
        <w:rPr>
          <w:rFonts w:cs="Calibri" w:ascii="Cambria" w:hAnsi="Cambria"/>
          <w:b/>
          <w:color w:themeColor="text1" w:val="000000"/>
          <w:sz w:val="24"/>
          <w:szCs w:val="24"/>
        </w:rPr>
        <w:t>3.2.</w:t>
      </w:r>
      <w:r>
        <w:rPr>
          <w:rFonts w:cs="Calibri"/>
          <w:b/>
          <w:color w:themeColor="text1" w:val="000000"/>
          <w:sz w:val="24"/>
          <w:szCs w:val="24"/>
        </w:rPr>
        <w:t xml:space="preserve"> </w:t>
      </w:r>
      <w:r>
        <w:rPr>
          <w:rFonts w:cs="Times New Roman" w:ascii="Cambria" w:hAnsi="Cambria"/>
          <w:b/>
          <w:color w:themeColor="text1" w:val="000000"/>
          <w:sz w:val="24"/>
          <w:szCs w:val="24"/>
        </w:rPr>
        <w:t>Kişisel Verilerin Doğru ve Gerektiğinde Güncel Olmasını Sağlama</w:t>
      </w:r>
    </w:p>
    <w:p>
      <w:pPr>
        <w:pStyle w:val="Normal"/>
        <w:spacing w:lineRule="auto" w:line="264" w:before="0" w:after="240"/>
        <w:jc w:val="both"/>
        <w:rPr>
          <w:rFonts w:ascii="Times New Roman" w:hAnsi="Times New Roman" w:cs="Times New Roman"/>
          <w:sz w:val="24"/>
          <w:szCs w:val="24"/>
        </w:rPr>
      </w:pPr>
      <w:r>
        <w:rPr>
          <w:rFonts w:cs="Calibri" w:ascii="Cambria" w:hAnsi="Cambria" w:asciiTheme="majorHAnsi" w:hAnsiTheme="majorHAnsi"/>
          <w:sz w:val="24"/>
          <w:szCs w:val="24"/>
        </w:rPr>
        <w:t>SEYRAN KOLTUK</w:t>
      </w:r>
      <w:r>
        <w:rPr>
          <w:rFonts w:cs="Times New Roman" w:ascii="Cambria" w:hAnsi="Cambria" w:asciiTheme="majorHAnsi" w:hAnsiTheme="majorHAnsi"/>
          <w:sz w:val="24"/>
          <w:szCs w:val="24"/>
        </w:rPr>
        <w:t>; kişisel veri sahiplerinin temel haklarını ve kendi meşru menfaatlerini dikkate alarak işlediği kişisel verilerin doğru ve güncel olmasını sağlamaktadır. Bu doğrultuda gerekli tedbirleri almaktadır</w:t>
      </w:r>
      <w:r>
        <w:rPr>
          <w:rFonts w:cs="Times New Roman" w:ascii="Times New Roman" w:hAnsi="Times New Roman"/>
          <w:sz w:val="24"/>
          <w:szCs w:val="24"/>
        </w:rPr>
        <w:t xml:space="preserve">. </w:t>
      </w:r>
    </w:p>
    <w:p>
      <w:pPr>
        <w:pStyle w:val="Normal"/>
        <w:spacing w:before="0" w:after="240"/>
        <w:rPr>
          <w:rFonts w:ascii="Cambria" w:hAnsi="Cambria"/>
          <w:b/>
          <w:color w:themeColor="text1" w:val="000000"/>
          <w:sz w:val="24"/>
          <w:szCs w:val="24"/>
        </w:rPr>
      </w:pPr>
      <w:r>
        <w:rPr>
          <w:rFonts w:ascii="Cambria" w:hAnsi="Cambria"/>
          <w:b/>
          <w:color w:themeColor="text1" w:val="000000"/>
          <w:sz w:val="24"/>
          <w:szCs w:val="24"/>
        </w:rPr>
        <w:t>3.3. Belirli, Açık ve Meşru Amaçlarla İşleme</w:t>
      </w:r>
    </w:p>
    <w:p>
      <w:pPr>
        <w:pStyle w:val="Normal"/>
        <w:spacing w:lineRule="auto" w:line="252"/>
        <w:jc w:val="both"/>
        <w:rPr>
          <w:rFonts w:ascii="Cambria" w:hAnsi="Cambria" w:cs="Times New Roman" w:asciiTheme="majorHAnsi" w:hAnsiTheme="majorHAnsi"/>
          <w:sz w:val="24"/>
          <w:szCs w:val="24"/>
        </w:rPr>
      </w:pPr>
      <w:r>
        <w:rPr>
          <w:rFonts w:cs="Calibri" w:ascii="Cambria" w:hAnsi="Cambria" w:asciiTheme="majorHAnsi" w:hAnsiTheme="majorHAnsi"/>
          <w:sz w:val="24"/>
          <w:szCs w:val="24"/>
        </w:rPr>
        <w:t>Seyran Koltuk</w:t>
      </w:r>
      <w:r>
        <w:rPr>
          <w:rFonts w:cs="Times New Roman" w:ascii="Cambria" w:hAnsi="Cambria" w:asciiTheme="majorHAnsi" w:hAnsiTheme="majorHAnsi"/>
          <w:sz w:val="24"/>
          <w:szCs w:val="24"/>
        </w:rPr>
        <w:t xml:space="preserve">, meşru ve hukuka uygun olan kişisel veri işleme amacını açık ve kesin olarak belirlemektedir. </w:t>
      </w:r>
      <w:r>
        <w:rPr>
          <w:rFonts w:cs="Calibri" w:ascii="Cambria" w:hAnsi="Cambria" w:asciiTheme="majorHAnsi" w:hAnsiTheme="majorHAnsi"/>
          <w:sz w:val="24"/>
          <w:szCs w:val="24"/>
        </w:rPr>
        <w:t>Seyran Koltuk</w:t>
      </w:r>
      <w:r>
        <w:rPr>
          <w:rFonts w:cs="Times New Roman" w:ascii="Cambria" w:hAnsi="Cambria" w:asciiTheme="majorHAnsi" w:hAnsiTheme="majorHAnsi"/>
          <w:sz w:val="24"/>
          <w:szCs w:val="24"/>
        </w:rPr>
        <w:t xml:space="preserve">, kişisel verileri sunmakta olduğu hizmetle bağlantılı ve bunlar için gerekli olan kadar işlemektedir. </w:t>
      </w:r>
    </w:p>
    <w:p>
      <w:pPr>
        <w:pStyle w:val="Normal"/>
        <w:spacing w:lineRule="auto" w:line="252"/>
        <w:jc w:val="both"/>
        <w:rPr>
          <w:rFonts w:ascii="Cambria" w:hAnsi="Cambria" w:cs="Times New Roman" w:asciiTheme="majorHAnsi" w:hAnsiTheme="majorHAnsi"/>
          <w:sz w:val="24"/>
          <w:szCs w:val="24"/>
        </w:rPr>
      </w:pPr>
      <w:r>
        <w:rPr>
          <w:rFonts w:cs="Times New Roman" w:ascii="Cambria" w:hAnsi="Cambria"/>
          <w:sz w:val="24"/>
          <w:szCs w:val="24"/>
        </w:rPr>
      </w:r>
    </w:p>
    <w:p>
      <w:pPr>
        <w:pStyle w:val="Normal"/>
        <w:spacing w:before="0" w:after="240"/>
        <w:rPr>
          <w:rFonts w:ascii="Cambria" w:hAnsi="Cambria"/>
          <w:b/>
          <w:color w:themeColor="text1" w:val="000000"/>
          <w:sz w:val="24"/>
          <w:szCs w:val="24"/>
        </w:rPr>
      </w:pPr>
      <w:r>
        <w:rPr>
          <w:rFonts w:ascii="Cambria" w:hAnsi="Cambria"/>
          <w:b/>
          <w:color w:themeColor="text1" w:val="000000"/>
          <w:sz w:val="24"/>
          <w:szCs w:val="24"/>
        </w:rPr>
        <w:t>3.4. İşlendikleri Amaçla Bağlantılı, Sınırlı ve Ölçülü Olma</w:t>
      </w:r>
    </w:p>
    <w:p>
      <w:pPr>
        <w:pStyle w:val="Normal"/>
        <w:spacing w:lineRule="auto" w:line="259" w:before="0" w:after="240"/>
        <w:jc w:val="both"/>
        <w:rPr>
          <w:rFonts w:ascii="Cambria" w:hAnsi="Cambria" w:cs="Times New Roman" w:asciiTheme="majorHAnsi" w:hAnsiTheme="majorHAnsi"/>
          <w:sz w:val="24"/>
          <w:szCs w:val="24"/>
        </w:rPr>
      </w:pPr>
      <w:r>
        <w:rPr>
          <w:rFonts w:cs="Calibri" w:ascii="Cambria" w:hAnsi="Cambria" w:asciiTheme="majorHAnsi" w:hAnsiTheme="majorHAnsi"/>
          <w:sz w:val="24"/>
          <w:szCs w:val="24"/>
        </w:rPr>
        <w:t>Seyran Koltuk</w:t>
      </w:r>
      <w:r>
        <w:rPr>
          <w:rFonts w:cs="Times New Roman" w:ascii="Cambria" w:hAnsi="Cambria" w:asciiTheme="majorHAnsi" w:hAnsiTheme="majorHAnsi"/>
          <w:sz w:val="24"/>
          <w:szCs w:val="24"/>
        </w:rPr>
        <w:t>, kişisel verileri belirlenen amaçların gerçekleştirilebilmesine elverişli bir biçimde işlemekte ve amacın gerçekleştirilmesiyle ilgili olmayan veya ihtiyaç duyulmayan kişisel verilerin işlenmesinden kaçınmaktadır.</w:t>
      </w:r>
    </w:p>
    <w:p>
      <w:pPr>
        <w:pStyle w:val="Normal"/>
        <w:spacing w:before="0" w:after="240"/>
        <w:jc w:val="both"/>
        <w:rPr>
          <w:rFonts w:ascii="Cambria" w:hAnsi="Cambria"/>
          <w:b/>
          <w:color w:themeColor="text1" w:val="000000"/>
          <w:sz w:val="24"/>
          <w:szCs w:val="24"/>
        </w:rPr>
      </w:pPr>
      <w:r>
        <w:rPr>
          <w:rFonts w:ascii="Cambria" w:hAnsi="Cambria"/>
          <w:b/>
          <w:color w:themeColor="text1" w:val="000000"/>
          <w:sz w:val="24"/>
          <w:szCs w:val="24"/>
        </w:rPr>
      </w:r>
    </w:p>
    <w:p>
      <w:pPr>
        <w:pStyle w:val="Normal"/>
        <w:spacing w:before="0" w:after="240"/>
        <w:jc w:val="both"/>
        <w:rPr>
          <w:rFonts w:ascii="Cambria" w:hAnsi="Cambria"/>
          <w:b/>
          <w:color w:themeColor="text1" w:val="000000"/>
          <w:sz w:val="24"/>
          <w:szCs w:val="24"/>
        </w:rPr>
      </w:pPr>
      <w:r>
        <w:rPr>
          <w:rFonts w:ascii="Cambria" w:hAnsi="Cambria"/>
          <w:b/>
          <w:color w:themeColor="text1" w:val="000000"/>
          <w:sz w:val="24"/>
          <w:szCs w:val="24"/>
        </w:rPr>
      </w:r>
    </w:p>
    <w:p>
      <w:pPr>
        <w:pStyle w:val="Normal"/>
        <w:spacing w:before="0" w:after="240"/>
        <w:jc w:val="both"/>
        <w:rPr>
          <w:rFonts w:ascii="Cambria" w:hAnsi="Cambria"/>
          <w:b/>
          <w:color w:themeColor="text1" w:val="000000"/>
          <w:sz w:val="24"/>
          <w:szCs w:val="24"/>
        </w:rPr>
      </w:pPr>
      <w:r>
        <w:rPr>
          <w:rFonts w:ascii="Cambria" w:hAnsi="Cambria"/>
          <w:b/>
          <w:color w:themeColor="text1" w:val="000000"/>
          <w:sz w:val="24"/>
          <w:szCs w:val="24"/>
        </w:rPr>
      </w:r>
    </w:p>
    <w:p>
      <w:pPr>
        <w:pStyle w:val="Normal"/>
        <w:spacing w:before="0" w:after="240"/>
        <w:jc w:val="both"/>
        <w:rPr>
          <w:rFonts w:ascii="Cambria" w:hAnsi="Cambria"/>
          <w:b/>
          <w:color w:themeColor="text1" w:val="000000"/>
          <w:sz w:val="24"/>
          <w:szCs w:val="24"/>
        </w:rPr>
      </w:pPr>
      <w:r>
        <w:rPr>
          <w:rFonts w:ascii="Cambria" w:hAnsi="Cambria"/>
          <w:b/>
          <w:color w:themeColor="text1" w:val="000000"/>
          <w:sz w:val="24"/>
          <w:szCs w:val="24"/>
        </w:rPr>
      </w:r>
    </w:p>
    <w:p>
      <w:pPr>
        <w:pStyle w:val="Normal"/>
        <w:spacing w:before="0" w:after="240"/>
        <w:jc w:val="both"/>
        <w:rPr>
          <w:rFonts w:ascii="Cambria" w:hAnsi="Cambria"/>
          <w:b/>
          <w:color w:themeColor="text1" w:val="000000"/>
          <w:sz w:val="24"/>
          <w:szCs w:val="24"/>
        </w:rPr>
      </w:pPr>
      <w:r>
        <w:rPr>
          <w:rFonts w:ascii="Cambria" w:hAnsi="Cambria"/>
          <w:b/>
          <w:color w:themeColor="text1" w:val="000000"/>
          <w:sz w:val="24"/>
          <w:szCs w:val="24"/>
        </w:rPr>
        <w:t>3.5. İlgili Mevzuatta Öngörülen veya İşlendikleri Amaç için Gerekli Olan Süre Kadar Muhafaza Etme</w:t>
      </w:r>
    </w:p>
    <w:p>
      <w:pPr>
        <w:pStyle w:val="Normal"/>
        <w:spacing w:lineRule="auto" w:line="264" w:before="0" w:after="240"/>
        <w:jc w:val="both"/>
        <w:rPr>
          <w:rFonts w:ascii="Cambria" w:hAnsi="Cambria" w:cs="Times New Roman"/>
          <w:sz w:val="24"/>
          <w:szCs w:val="24"/>
        </w:rPr>
      </w:pPr>
      <w:r>
        <w:rPr>
          <w:rFonts w:cs="Calibri" w:ascii="Cambria" w:hAnsi="Cambria"/>
          <w:sz w:val="24"/>
          <w:szCs w:val="24"/>
        </w:rPr>
        <w:t>Seyran Koltuk</w:t>
      </w:r>
      <w:r>
        <w:rPr>
          <w:rFonts w:cs="Times New Roman" w:ascii="Cambria" w:hAnsi="Cambria"/>
          <w:sz w:val="24"/>
          <w:szCs w:val="24"/>
        </w:rPr>
        <w:t xml:space="preserve">, kişisel verileri ancak ilgili mevzuatta belirtildiği veya işlendikleri amaç için gerekli olan süre kadar muhafaza etmektedir. Bu kapsamda, </w:t>
      </w:r>
      <w:r>
        <w:rPr>
          <w:rFonts w:cs="Calibri" w:ascii="Cambria" w:hAnsi="Cambria"/>
          <w:sz w:val="24"/>
          <w:szCs w:val="24"/>
        </w:rPr>
        <w:t>Seyran Koltuk</w:t>
      </w:r>
      <w:r>
        <w:rPr>
          <w:rFonts w:cs="Times New Roman" w:ascii="Cambria" w:hAnsi="Cambria"/>
          <w:sz w:val="24"/>
          <w:szCs w:val="24"/>
        </w:rPr>
        <w:t xml:space="preserve"> öncelikle ilgili mevzuatta kişisel verilerin saklanması için bir süre öngörülüp öngörülmediğini tespit etmekte, bir süre belirlenmişse bu süreye uygun davranmakta, bir süre belirlenmemişse kişisel verileri işlendikleri amaç için gerekli olan süre kadar saklamaktadır. Sürenin bitimi veya işlenmesini gerektiren sebeplerin ortadan kalkması halinde kişisel veriler </w:t>
      </w:r>
      <w:r>
        <w:rPr>
          <w:rFonts w:cs="Calibri" w:ascii="Cambria" w:hAnsi="Cambria"/>
          <w:sz w:val="24"/>
          <w:szCs w:val="24"/>
        </w:rPr>
        <w:t>Seyran Koltuk</w:t>
      </w:r>
      <w:r>
        <w:rPr>
          <w:rFonts w:cs="Times New Roman" w:ascii="Cambria" w:hAnsi="Cambria"/>
          <w:sz w:val="24"/>
          <w:szCs w:val="24"/>
        </w:rPr>
        <w:t xml:space="preserve"> tarafından silinmekte, yok edilmekte veya anonim hale getirilmektedir. Gelecekte kullanma ihtimali ile </w:t>
      </w:r>
      <w:r>
        <w:rPr>
          <w:rFonts w:cs="Calibri" w:ascii="Cambria" w:hAnsi="Cambria"/>
          <w:sz w:val="24"/>
          <w:szCs w:val="24"/>
        </w:rPr>
        <w:t>Seyran Koltuk</w:t>
      </w:r>
      <w:r>
        <w:rPr>
          <w:rFonts w:cs="Times New Roman" w:ascii="Cambria" w:hAnsi="Cambria"/>
          <w:sz w:val="24"/>
          <w:szCs w:val="24"/>
        </w:rPr>
        <w:t xml:space="preserve"> tarafından kişisel veriler saklanmamaktadır.</w:t>
      </w:r>
    </w:p>
    <w:p>
      <w:pPr>
        <w:pStyle w:val="Title"/>
        <w:jc w:val="both"/>
        <w:rPr>
          <w:rFonts w:ascii="Cambria" w:hAnsi="Cambria"/>
          <w:b/>
          <w:color w:themeColor="text1" w:val="000000"/>
          <w:sz w:val="24"/>
          <w:szCs w:val="24"/>
        </w:rPr>
      </w:pPr>
      <w:r>
        <w:rPr>
          <w:b/>
          <w:color w:themeColor="text1" w:val="000000"/>
          <w:sz w:val="24"/>
          <w:szCs w:val="24"/>
        </w:rPr>
      </w:r>
    </w:p>
    <w:p>
      <w:pPr>
        <w:pStyle w:val="Title"/>
        <w:jc w:val="both"/>
        <w:rPr>
          <w:rFonts w:ascii="Cambria" w:hAnsi="Cambria"/>
          <w:b/>
          <w:color w:themeColor="text1" w:val="000000"/>
          <w:sz w:val="24"/>
          <w:szCs w:val="24"/>
        </w:rPr>
      </w:pPr>
      <w:r>
        <w:rPr>
          <w:b/>
          <w:color w:themeColor="text1" w:val="000000"/>
          <w:sz w:val="24"/>
          <w:szCs w:val="24"/>
        </w:rPr>
        <w:t>4. KİŞİSEL VERİLERİN İŞLENME ŞARTLARI</w:t>
      </w:r>
    </w:p>
    <w:p>
      <w:pPr>
        <w:pStyle w:val="Default"/>
        <w:spacing w:before="0" w:after="240"/>
        <w:jc w:val="both"/>
        <w:rPr/>
      </w:pPr>
      <w:r>
        <w:rPr/>
        <w:t xml:space="preserve">Kişisel veriler kural olarak, KVKK’nın 5. maddesinde belirtilen kişisel veri işleme şartlarından bir veya birkaçına dayalı olarak işlenmelidir. Bu kapsamda </w:t>
      </w:r>
      <w:r>
        <w:rPr>
          <w:rFonts w:cs="Calibri"/>
          <w:sz w:val="24"/>
          <w:szCs w:val="24"/>
        </w:rPr>
        <w:t>SEYRAN KOLTUK</w:t>
      </w:r>
      <w:r>
        <w:rPr/>
        <w:t>, kişisel veri işleme faaliyetlerinin bu şartlardan birinin kapsamına girip girmediğini değerlendirmekte ve bu şartlardan birine dayanmayan kişisel veri işleme faaliyetleri durdurulmaktadır. KVKK’da özel nitelikteki kişisel verilerin işlenmesi için özel önlemler getirilebileceği düzenlenmiştir. Bu kapsamda özel nitelikli kişisel veriler işlenirken Kurul tarafından belirlenen önlemler alınmaktadır.</w:t>
      </w:r>
    </w:p>
    <w:p>
      <w:pPr>
        <w:pStyle w:val="Default"/>
        <w:spacing w:before="0" w:after="240"/>
        <w:jc w:val="both"/>
        <w:rPr>
          <w:rFonts w:cs="Calibri"/>
          <w:color w:val="auto"/>
        </w:rPr>
      </w:pPr>
      <w:r>
        <w:rPr>
          <w:rFonts w:cs="Calibri"/>
          <w:color w:val="auto"/>
        </w:rPr>
        <w:t>Kişisel veri sahibinin açık rıza vermesi haricinde kişisel veri işleme faaliyetinin dayanağı aşağıda belirtilen şartlardan yalnızca biri olabileceği gibi birden fazla şart da aynı kişisel veri işleme faaliyetinin dayanağı olabilmektedir:</w:t>
      </w:r>
    </w:p>
    <w:p>
      <w:pPr>
        <w:pStyle w:val="Default"/>
        <w:numPr>
          <w:ilvl w:val="0"/>
          <w:numId w:val="1"/>
        </w:numPr>
        <w:spacing w:before="0" w:after="240"/>
        <w:jc w:val="both"/>
        <w:rPr>
          <w:rFonts w:cs="Calibri"/>
          <w:b/>
          <w:color w:val="auto"/>
          <w:sz w:val="22"/>
          <w:szCs w:val="22"/>
        </w:rPr>
      </w:pPr>
      <w:r>
        <w:rPr>
          <w:b/>
        </w:rPr>
        <w:t xml:space="preserve">Kişisel Veri Sahibinin Açık Rızasının Bulunması </w:t>
      </w:r>
    </w:p>
    <w:p>
      <w:pPr>
        <w:pStyle w:val="Default"/>
        <w:spacing w:before="0" w:after="240"/>
        <w:jc w:val="both"/>
        <w:rPr/>
      </w:pPr>
      <w:r>
        <w:rPr/>
        <w:t xml:space="preserve">Kişisel verilerin işlenme şartlarından biri veri sahibinin açık rızasıdır. Kişisel veri sahibinin açık rızası belirli bir konuya ilişkin, bilgilendirilmeye dayalı olarak ve özgür iradeyle açıklanmalıdır. Aşağıda yer alan kişisel veri işleme şartlarının varlığı durumunda veri sahibinin açık rızasına gerek kalmaksızın kişisel veriler işlenebilecektir. </w:t>
      </w:r>
    </w:p>
    <w:p>
      <w:pPr>
        <w:pStyle w:val="Default"/>
        <w:numPr>
          <w:ilvl w:val="0"/>
          <w:numId w:val="1"/>
        </w:numPr>
        <w:spacing w:before="0" w:after="240"/>
        <w:jc w:val="both"/>
        <w:rPr>
          <w:rFonts w:cs="Calibri"/>
          <w:b/>
          <w:color w:val="auto"/>
          <w:sz w:val="22"/>
          <w:szCs w:val="22"/>
        </w:rPr>
      </w:pPr>
      <w:r>
        <w:rPr>
          <w:b/>
        </w:rPr>
        <w:t>Kanunlarda Açıkça Öngörülmesi</w:t>
      </w:r>
    </w:p>
    <w:p>
      <w:pPr>
        <w:pStyle w:val="Default"/>
        <w:spacing w:before="0" w:after="240"/>
        <w:jc w:val="both"/>
        <w:rPr/>
      </w:pPr>
      <w:r>
        <w:rPr/>
        <w:t xml:space="preserve">Veri sahibinin kişisel verileri, kanunda açıkça öngörülmekte ise diğer bir ifade ile ilgili kanunda kişisel verilerin işlenmesine ilişkin açıkça bir hüküm olması halinde işbu veri işleme şartının varlığından söz edilebilecektir. </w:t>
      </w:r>
    </w:p>
    <w:p>
      <w:pPr>
        <w:pStyle w:val="Default"/>
        <w:spacing w:before="0" w:after="240"/>
        <w:jc w:val="both"/>
        <w:rPr/>
      </w:pPr>
      <w:r>
        <w:rPr/>
      </w:r>
    </w:p>
    <w:p>
      <w:pPr>
        <w:pStyle w:val="Default"/>
        <w:numPr>
          <w:ilvl w:val="0"/>
          <w:numId w:val="0"/>
        </w:numPr>
        <w:spacing w:before="0" w:after="240"/>
        <w:ind w:hanging="0" w:left="720"/>
        <w:jc w:val="both"/>
        <w:rPr>
          <w:rFonts w:cs="Calibri"/>
          <w:b/>
          <w:color w:val="auto"/>
          <w:sz w:val="22"/>
          <w:szCs w:val="22"/>
        </w:rPr>
      </w:pPr>
      <w:r>
        <w:rPr>
          <w:rFonts w:cs="Calibri"/>
          <w:b/>
          <w:color w:val="auto"/>
          <w:sz w:val="22"/>
          <w:szCs w:val="22"/>
        </w:rPr>
      </w:r>
    </w:p>
    <w:p>
      <w:pPr>
        <w:pStyle w:val="Default"/>
        <w:numPr>
          <w:ilvl w:val="0"/>
          <w:numId w:val="1"/>
        </w:numPr>
        <w:spacing w:before="0" w:after="240"/>
        <w:jc w:val="both"/>
        <w:rPr>
          <w:rFonts w:cs="Calibri"/>
          <w:b/>
          <w:color w:val="auto"/>
          <w:sz w:val="22"/>
          <w:szCs w:val="22"/>
        </w:rPr>
      </w:pPr>
      <w:r>
        <w:rPr>
          <w:b/>
        </w:rPr>
        <w:t>Fiili İmkansızlık Sebebiyle İlgilinin Açık Rızasının Alınamaması</w:t>
      </w:r>
    </w:p>
    <w:p>
      <w:pPr>
        <w:pStyle w:val="Default"/>
        <w:spacing w:before="0" w:after="240"/>
        <w:jc w:val="both"/>
        <w:rPr>
          <w:rFonts w:cs="Calibri"/>
          <w:color w:val="auto"/>
          <w:sz w:val="22"/>
          <w:szCs w:val="22"/>
        </w:rPr>
      </w:pPr>
      <w:r>
        <w:rPr/>
        <w:t xml:space="preserve">Fiili imkansızlık nedeniyle rızasını açıklayamayacak durumda olan veya rızasına geçerlilik tanınamayacak olan kişinin kendisinin ya da başka bir kişinin hayatı veya beden bütünlüğünü korumak için kişisel verisinin işlenmesinin zorunlu olması halinde veri sahibinin kişisel verileri işlenebilecektir. </w:t>
      </w:r>
    </w:p>
    <w:p>
      <w:pPr>
        <w:pStyle w:val="Default"/>
        <w:numPr>
          <w:ilvl w:val="0"/>
          <w:numId w:val="1"/>
        </w:numPr>
        <w:spacing w:before="0" w:after="240"/>
        <w:jc w:val="both"/>
        <w:rPr>
          <w:rFonts w:cs="Calibri"/>
          <w:b/>
          <w:color w:val="auto"/>
          <w:sz w:val="22"/>
          <w:szCs w:val="22"/>
        </w:rPr>
      </w:pPr>
      <w:r>
        <w:rPr>
          <w:b/>
        </w:rPr>
        <w:t>Sözleşmenin Kurulması veya İfasıyla Doğrudan İlgi Olması</w:t>
      </w:r>
    </w:p>
    <w:p>
      <w:pPr>
        <w:pStyle w:val="Default"/>
        <w:spacing w:before="0" w:after="240"/>
        <w:jc w:val="both"/>
        <w:rPr>
          <w:rFonts w:cs="Calibri"/>
          <w:color w:val="auto"/>
          <w:sz w:val="22"/>
          <w:szCs w:val="22"/>
        </w:rPr>
      </w:pPr>
      <w:r>
        <w:rPr/>
        <w:t xml:space="preserve">Veri sahibinin taraf olduğu bir sözleşmenin kurulması veya ifasıyla doğrudan doğruya ilgili olması kaydıyla, kişisel verilerin işlenmesinin gerekli olması halinde işbu şart yerine getirilmiş sayılabilecektir. </w:t>
      </w:r>
    </w:p>
    <w:p>
      <w:pPr>
        <w:pStyle w:val="Default"/>
        <w:numPr>
          <w:ilvl w:val="0"/>
          <w:numId w:val="1"/>
        </w:numPr>
        <w:spacing w:before="0" w:after="240"/>
        <w:jc w:val="both"/>
        <w:rPr>
          <w:rFonts w:cs="Calibri"/>
          <w:b/>
          <w:color w:val="auto"/>
          <w:sz w:val="22"/>
          <w:szCs w:val="22"/>
        </w:rPr>
      </w:pPr>
      <w:r>
        <w:rPr>
          <w:rFonts w:cs="Calibri"/>
          <w:b/>
          <w:sz w:val="24"/>
          <w:szCs w:val="24"/>
        </w:rPr>
        <w:t>Seyran Koltuk’un</w:t>
      </w:r>
      <w:r>
        <w:rPr>
          <w:b/>
        </w:rPr>
        <w:t xml:space="preserve"> Hukuki Yükümlülüğünü Yerine Getirmesi </w:t>
      </w:r>
    </w:p>
    <w:p>
      <w:pPr>
        <w:pStyle w:val="Default"/>
        <w:spacing w:before="0" w:after="240"/>
        <w:jc w:val="both"/>
        <w:rPr>
          <w:rFonts w:cs="Calibri"/>
          <w:color w:val="auto"/>
          <w:sz w:val="22"/>
          <w:szCs w:val="22"/>
        </w:rPr>
      </w:pPr>
      <w:r>
        <w:rPr>
          <w:rFonts w:cs="Calibri"/>
          <w:sz w:val="24"/>
          <w:szCs w:val="24"/>
        </w:rPr>
        <w:t>Seyran Koltuk’un</w:t>
      </w:r>
      <w:r>
        <w:rPr/>
        <w:t xml:space="preserve"> hukuki yükümlülüklerini yerine getirmesi için işlemenin zorunlu olması halinde veri sahibinin kişisel verileri işlenebilecektir. </w:t>
      </w:r>
    </w:p>
    <w:p>
      <w:pPr>
        <w:pStyle w:val="Default"/>
        <w:numPr>
          <w:ilvl w:val="0"/>
          <w:numId w:val="1"/>
        </w:numPr>
        <w:spacing w:before="0" w:after="240"/>
        <w:jc w:val="both"/>
        <w:rPr>
          <w:rFonts w:cs="Calibri"/>
          <w:b/>
          <w:color w:val="auto"/>
          <w:sz w:val="22"/>
          <w:szCs w:val="22"/>
        </w:rPr>
      </w:pPr>
      <w:r>
        <w:rPr>
          <w:b/>
        </w:rPr>
        <w:t xml:space="preserve">Kişisel Veri Sahibinin Kişisel Verisini Alenileştirmesi </w:t>
      </w:r>
    </w:p>
    <w:p>
      <w:pPr>
        <w:pStyle w:val="Default"/>
        <w:spacing w:before="0" w:after="240"/>
        <w:jc w:val="both"/>
        <w:rPr>
          <w:rFonts w:cs="Calibri"/>
          <w:color w:val="auto"/>
          <w:sz w:val="22"/>
          <w:szCs w:val="22"/>
        </w:rPr>
      </w:pPr>
      <w:r>
        <w:rPr/>
        <w:t xml:space="preserve">Veri sahibinin, kişisel verisini alenileştirmiş olması halinde ilgili kişisel veriler alenileştirme amacıyla sınırlı olarak işlenebilecektir. </w:t>
      </w:r>
    </w:p>
    <w:p>
      <w:pPr>
        <w:pStyle w:val="Default"/>
        <w:numPr>
          <w:ilvl w:val="0"/>
          <w:numId w:val="1"/>
        </w:numPr>
        <w:spacing w:before="0" w:after="240"/>
        <w:jc w:val="both"/>
        <w:rPr>
          <w:rFonts w:cs="Calibri"/>
          <w:b/>
          <w:color w:val="auto"/>
          <w:sz w:val="22"/>
          <w:szCs w:val="22"/>
        </w:rPr>
      </w:pPr>
      <w:r>
        <w:rPr>
          <w:b/>
        </w:rPr>
        <w:t xml:space="preserve">Bir Hakkın Tesisi veya Korunması için Veri İşlemenin Zorunlu Olması </w:t>
      </w:r>
    </w:p>
    <w:p>
      <w:pPr>
        <w:pStyle w:val="Default"/>
        <w:spacing w:before="0" w:after="240"/>
        <w:jc w:val="both"/>
        <w:rPr/>
      </w:pPr>
      <w:r>
        <w:rPr/>
        <w:t xml:space="preserve">Bir hakkın tesisi, kullanılması veya korunması için veri işlemenin zorunlu olması halinde veri sahibinin kişisel verileri işlenebilecektir. </w:t>
      </w:r>
    </w:p>
    <w:p>
      <w:pPr>
        <w:pStyle w:val="Default"/>
        <w:spacing w:before="0" w:after="240"/>
        <w:jc w:val="both"/>
        <w:rPr>
          <w:rFonts w:cs="Calibri"/>
          <w:color w:val="auto"/>
          <w:sz w:val="22"/>
          <w:szCs w:val="22"/>
        </w:rPr>
      </w:pPr>
      <w:r>
        <w:rPr>
          <w:rFonts w:cs="Calibri"/>
          <w:color w:val="auto"/>
          <w:sz w:val="22"/>
          <w:szCs w:val="22"/>
        </w:rPr>
      </w:r>
    </w:p>
    <w:p>
      <w:pPr>
        <w:pStyle w:val="Default"/>
        <w:numPr>
          <w:ilvl w:val="0"/>
          <w:numId w:val="1"/>
        </w:numPr>
        <w:spacing w:before="0" w:after="240"/>
        <w:jc w:val="both"/>
        <w:rPr>
          <w:rFonts w:cs="Calibri"/>
          <w:b/>
          <w:color w:val="auto"/>
          <w:sz w:val="22"/>
          <w:szCs w:val="22"/>
        </w:rPr>
      </w:pPr>
      <w:r>
        <w:rPr>
          <w:rFonts w:cs="Calibri"/>
          <w:b/>
          <w:sz w:val="24"/>
          <w:szCs w:val="24"/>
        </w:rPr>
        <w:t>Seyran Koltuk’un</w:t>
      </w:r>
      <w:r>
        <w:rPr>
          <w:b/>
        </w:rPr>
        <w:t xml:space="preserve"> Meşru Menfaati için Veri İşlemenin Zorunlu Olması </w:t>
      </w:r>
    </w:p>
    <w:p>
      <w:pPr>
        <w:pStyle w:val="Default"/>
        <w:spacing w:before="0" w:after="240"/>
        <w:jc w:val="both"/>
        <w:rPr/>
      </w:pPr>
      <w:r>
        <w:rPr/>
        <w:t xml:space="preserve">Kişisel veri sahibinin temel hak ve özgürlüklerine zarar vermemek kaydıyla </w:t>
      </w:r>
      <w:r>
        <w:rPr>
          <w:rFonts w:cs="Calibri"/>
          <w:sz w:val="24"/>
          <w:szCs w:val="24"/>
        </w:rPr>
        <w:t>Seyran Koltuk’u</w:t>
      </w:r>
      <w:r>
        <w:rPr/>
        <w:t>n meşru menfaatleri için veri işlemesinin zorunlu olması halinde veri sahibinin kişisel verileri işlenebilecektir.</w:t>
      </w:r>
    </w:p>
    <w:p>
      <w:pPr>
        <w:pStyle w:val="Default"/>
        <w:spacing w:before="0" w:after="240"/>
        <w:jc w:val="both"/>
        <w:rPr>
          <w:b/>
          <w:color w:val="C00000"/>
        </w:rPr>
      </w:pPr>
      <w:r>
        <w:rPr>
          <w:b/>
          <w:color w:val="C00000"/>
        </w:rPr>
      </w:r>
    </w:p>
    <w:p>
      <w:pPr>
        <w:pStyle w:val="Default"/>
        <w:spacing w:before="0" w:after="240"/>
        <w:jc w:val="both"/>
        <w:rPr>
          <w:b/>
          <w:color w:themeColor="text1" w:val="000000"/>
        </w:rPr>
      </w:pPr>
      <w:r>
        <w:rPr>
          <w:b/>
          <w:color w:themeColor="text1" w:val="000000"/>
        </w:rPr>
        <w:t>4.2. Özel Nitelikli Kişisel Verilerin İşlenmesi</w:t>
      </w:r>
      <w:r>
        <w:rPr>
          <w:rFonts w:cs="Times New Roman" w:ascii="Times New Roman" w:hAnsi="Times New Roman"/>
          <w:color w:themeColor="text1" w:val="000000"/>
        </w:rPr>
        <w:t>.</w:t>
      </w:r>
    </w:p>
    <w:p>
      <w:pPr>
        <w:pStyle w:val="Normal"/>
        <w:spacing w:lineRule="auto" w:line="264" w:before="0" w:after="240"/>
        <w:jc w:val="both"/>
        <w:rPr>
          <w:rFonts w:ascii="Cambria" w:hAnsi="Cambria" w:cs="Times New Roman" w:asciiTheme="majorHAnsi" w:hAnsiTheme="majorHAnsi"/>
          <w:sz w:val="24"/>
          <w:szCs w:val="24"/>
        </w:rPr>
      </w:pPr>
      <w:r>
        <w:rPr>
          <w:rFonts w:cs="Times New Roman" w:ascii="Cambria" w:hAnsi="Cambria"/>
          <w:sz w:val="24"/>
          <w:szCs w:val="24"/>
        </w:rPr>
      </w:r>
    </w:p>
    <w:p>
      <w:pPr>
        <w:pStyle w:val="Normal"/>
        <w:spacing w:lineRule="auto" w:line="264" w:before="0" w:after="240"/>
        <w:jc w:val="both"/>
        <w:rPr>
          <w:rFonts w:ascii="Cambria" w:hAnsi="Cambria" w:cs="Times New Roman" w:asciiTheme="majorHAnsi" w:hAnsiTheme="majorHAnsi"/>
          <w:sz w:val="24"/>
          <w:szCs w:val="24"/>
        </w:rPr>
      </w:pPr>
      <w:r>
        <w:rPr>
          <w:rFonts w:cs="Times New Roman" w:ascii="Cambria" w:hAnsi="Cambria"/>
          <w:sz w:val="24"/>
          <w:szCs w:val="24"/>
        </w:rPr>
      </w:r>
    </w:p>
    <w:p>
      <w:pPr>
        <w:pStyle w:val="Normal"/>
        <w:spacing w:lineRule="auto" w:line="264" w:before="0" w:after="240"/>
        <w:jc w:val="both"/>
        <w:rPr>
          <w:rFonts w:ascii="Cambria" w:hAnsi="Cambria" w:cs="Times New Roman" w:asciiTheme="majorHAnsi" w:hAnsiTheme="majorHAnsi"/>
          <w:sz w:val="24"/>
          <w:szCs w:val="24"/>
        </w:rPr>
      </w:pPr>
      <w:r>
        <w:rPr>
          <w:rFonts w:cs="Times New Roman" w:ascii="Cambria" w:hAnsi="Cambria"/>
          <w:sz w:val="24"/>
          <w:szCs w:val="24"/>
        </w:rPr>
      </w:r>
    </w:p>
    <w:p>
      <w:pPr>
        <w:pStyle w:val="Normal"/>
        <w:spacing w:lineRule="auto" w:line="264" w:before="0" w:after="240"/>
        <w:jc w:val="both"/>
        <w:rPr>
          <w:rFonts w:ascii="Cambria" w:hAnsi="Cambria" w:cs="Times New Roman" w:asciiTheme="majorHAnsi" w:hAnsiTheme="majorHAnsi"/>
          <w:sz w:val="24"/>
          <w:szCs w:val="24"/>
        </w:rPr>
      </w:pPr>
      <w:r>
        <w:rPr>
          <w:rFonts w:cs="Times New Roman" w:ascii="Cambria" w:hAnsi="Cambria"/>
          <w:sz w:val="24"/>
          <w:szCs w:val="24"/>
        </w:rPr>
      </w:r>
    </w:p>
    <w:p>
      <w:pPr>
        <w:pStyle w:val="Normal"/>
        <w:spacing w:lineRule="auto" w:line="264" w:before="0" w:after="240"/>
        <w:jc w:val="both"/>
        <w:rPr>
          <w:rFonts w:ascii="Cambria" w:hAnsi="Cambria" w:cs="Times New Roman" w:asciiTheme="majorHAnsi" w:hAnsiTheme="majorHAnsi"/>
          <w:sz w:val="24"/>
          <w:szCs w:val="24"/>
        </w:rPr>
      </w:pPr>
      <w:r>
        <w:rPr>
          <w:rFonts w:cs="Times New Roman" w:ascii="Cambria" w:hAnsi="Cambria" w:asciiTheme="majorHAnsi" w:hAnsiTheme="majorHAnsi"/>
          <w:sz w:val="24"/>
          <w:szCs w:val="24"/>
        </w:rPr>
        <w:t>KVKK'nın 6. maddesinde, hukuka aykırı olarak işlendiğinde kişilerin mağduriyetine veya ayrımcılığa sebep olma riski taşıyan; ırk, etnik köken, siyasi düşünce, felsefi inanç, din, mezhep veya diğer inançlar, kılık ve kıyafet, dernek, vakıf ya da sendika üyeliği, sağlık, cinsel hayat, ceza mahkûmiyeti ve güvenlik tedbirleriyle ilgili veriler ile biyometrik ve genetik “özel nitelikli” kişisel veri olarak düzenlenmiştir.</w:t>
      </w:r>
    </w:p>
    <w:p>
      <w:pPr>
        <w:pStyle w:val="Normal"/>
        <w:spacing w:lineRule="auto" w:line="264"/>
        <w:jc w:val="both"/>
        <w:rPr>
          <w:rFonts w:ascii="Cambria" w:hAnsi="Cambria" w:cs="Calibri" w:asciiTheme="majorHAnsi" w:hAnsiTheme="majorHAnsi"/>
          <w:sz w:val="24"/>
          <w:szCs w:val="24"/>
        </w:rPr>
      </w:pPr>
      <w:r>
        <w:rPr>
          <w:rFonts w:cs="Calibri" w:ascii="Cambria" w:hAnsi="Cambria" w:asciiTheme="majorHAnsi" w:hAnsiTheme="majorHAnsi"/>
          <w:sz w:val="24"/>
          <w:szCs w:val="24"/>
        </w:rPr>
        <w:t>Seyran Koltuk</w:t>
      </w:r>
      <w:r>
        <w:rPr>
          <w:rFonts w:cs="Times New Roman" w:ascii="Cambria" w:hAnsi="Cambria" w:asciiTheme="majorHAnsi" w:hAnsiTheme="majorHAnsi"/>
          <w:sz w:val="24"/>
          <w:szCs w:val="24"/>
        </w:rPr>
        <w:t xml:space="preserve"> tarafından, özel nitelikli kişisel verilerin işlenmesinde, Kanunda öngörülen düzenlemelere uygun davranılmaktadır. </w:t>
      </w:r>
      <w:r>
        <w:rPr>
          <w:rFonts w:cs="Calibri" w:ascii="Cambria" w:hAnsi="Cambria" w:asciiTheme="majorHAnsi" w:hAnsiTheme="majorHAnsi"/>
          <w:sz w:val="24"/>
          <w:szCs w:val="24"/>
        </w:rPr>
        <w:t xml:space="preserve">Özel nitelikli kişisel veriler Seyran Koltuk tarafından, işbu Politika’da belirtilen ilkelere uygun olarak ve Kurul’un belirleyeceği yöntemler de dahil olmak üzere gerekli her türlü idari ve teknik tedbirler alınarak ve aşağıdaki şartların varlığı halinde işlenmektedir: </w:t>
      </w:r>
    </w:p>
    <w:p>
      <w:pPr>
        <w:pStyle w:val="Normal"/>
        <w:spacing w:lineRule="auto" w:line="264"/>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64"/>
        <w:jc w:val="both"/>
        <w:rPr>
          <w:rFonts w:ascii="Times New Roman" w:hAnsi="Times New Roman" w:cs="Times New Roman"/>
          <w:sz w:val="24"/>
          <w:szCs w:val="24"/>
        </w:rPr>
      </w:pPr>
      <w:r>
        <w:rPr>
          <w:rFonts w:cs="Times New Roman" w:ascii="Times New Roman" w:hAnsi="Times New Roman"/>
          <w:sz w:val="24"/>
          <w:szCs w:val="24"/>
        </w:rPr>
      </w:r>
    </w:p>
    <w:p>
      <w:pPr>
        <w:pStyle w:val="Default"/>
        <w:numPr>
          <w:ilvl w:val="0"/>
          <w:numId w:val="2"/>
        </w:numPr>
        <w:jc w:val="both"/>
        <w:rPr>
          <w:rFonts w:cs="Calibri"/>
          <w:color w:val="auto"/>
          <w:sz w:val="22"/>
          <w:szCs w:val="22"/>
        </w:rPr>
      </w:pPr>
      <w:r>
        <w:rPr>
          <w:rFonts w:cs="Calibri"/>
          <w:b/>
          <w:bCs/>
          <w:color w:val="auto"/>
          <w:sz w:val="22"/>
          <w:szCs w:val="22"/>
        </w:rPr>
        <w:t>Sağlık ve cinsel hayat dışındaki özel nitelikli kişisel veriler</w:t>
      </w:r>
    </w:p>
    <w:p>
      <w:pPr>
        <w:pStyle w:val="Default"/>
        <w:ind w:left="750"/>
        <w:jc w:val="both"/>
        <w:rPr>
          <w:rFonts w:cs="Calibri"/>
          <w:color w:val="auto"/>
          <w:sz w:val="22"/>
          <w:szCs w:val="22"/>
        </w:rPr>
      </w:pPr>
      <w:r>
        <w:rPr>
          <w:rFonts w:cs="Calibri"/>
          <w:color w:val="auto"/>
          <w:sz w:val="22"/>
          <w:szCs w:val="22"/>
        </w:rPr>
      </w:r>
    </w:p>
    <w:p>
      <w:pPr>
        <w:pStyle w:val="Default"/>
        <w:ind w:left="748"/>
        <w:jc w:val="both"/>
        <w:rPr>
          <w:rFonts w:cs="Calibri"/>
          <w:color w:val="auto"/>
          <w:sz w:val="22"/>
          <w:szCs w:val="22"/>
        </w:rPr>
      </w:pPr>
      <w:r>
        <w:rPr>
          <w:rFonts w:cs="Calibri"/>
          <w:color w:val="auto"/>
          <w:sz w:val="22"/>
          <w:szCs w:val="22"/>
        </w:rPr>
        <w:t xml:space="preserve">Kanunlarda açıkça öngörülmesi diğer bir ifade ile ilgili faaliyetin tabi olduğu kanunda kişisel verilerin işlenmesine ilişkin açıkça bir hüküm olması halinde veri sahibinin açık rızası aranmaksızın işlenebilecektir. Aksi durumda söz konusu özel nitelikli kişisel verilerin işlenebilmesi için veri sahibinin açık rızası alınacaktır. </w:t>
      </w:r>
    </w:p>
    <w:p>
      <w:pPr>
        <w:pStyle w:val="Default"/>
        <w:ind w:left="750"/>
        <w:jc w:val="both"/>
        <w:rPr>
          <w:rFonts w:cs="Calibri"/>
          <w:color w:val="auto"/>
          <w:sz w:val="22"/>
          <w:szCs w:val="22"/>
        </w:rPr>
      </w:pPr>
      <w:r>
        <w:rPr>
          <w:rFonts w:cs="Calibri"/>
          <w:color w:val="auto"/>
          <w:sz w:val="22"/>
          <w:szCs w:val="22"/>
        </w:rPr>
      </w:r>
    </w:p>
    <w:p>
      <w:pPr>
        <w:pStyle w:val="Default"/>
        <w:ind w:left="750"/>
        <w:jc w:val="both"/>
        <w:rPr>
          <w:rFonts w:cs="Calibri"/>
          <w:color w:val="auto"/>
          <w:sz w:val="22"/>
          <w:szCs w:val="22"/>
        </w:rPr>
      </w:pPr>
      <w:r>
        <w:rPr>
          <w:rFonts w:cs="Calibri"/>
          <w:color w:val="auto"/>
          <w:sz w:val="22"/>
          <w:szCs w:val="22"/>
        </w:rPr>
      </w:r>
    </w:p>
    <w:p>
      <w:pPr>
        <w:pStyle w:val="Default"/>
        <w:numPr>
          <w:ilvl w:val="0"/>
          <w:numId w:val="2"/>
        </w:numPr>
        <w:jc w:val="both"/>
        <w:rPr>
          <w:rFonts w:cs="Calibri"/>
          <w:color w:val="auto"/>
          <w:sz w:val="22"/>
          <w:szCs w:val="22"/>
        </w:rPr>
      </w:pPr>
      <w:r>
        <w:rPr>
          <w:rFonts w:cs="Calibri"/>
          <w:b/>
          <w:bCs/>
          <w:color w:val="auto"/>
          <w:sz w:val="22"/>
          <w:szCs w:val="22"/>
        </w:rPr>
        <w:t>Sağlık ve cinsel hayata ilişkin özel nitelikli kişisel veriler</w:t>
      </w:r>
    </w:p>
    <w:p>
      <w:pPr>
        <w:pStyle w:val="Default"/>
        <w:ind w:left="750"/>
        <w:jc w:val="both"/>
        <w:rPr>
          <w:rFonts w:cs="Calibri"/>
          <w:color w:val="auto"/>
          <w:sz w:val="22"/>
          <w:szCs w:val="22"/>
        </w:rPr>
      </w:pPr>
      <w:r>
        <w:rPr>
          <w:rFonts w:cs="Calibri"/>
          <w:color w:val="auto"/>
          <w:sz w:val="22"/>
          <w:szCs w:val="22"/>
        </w:rPr>
      </w:r>
    </w:p>
    <w:p>
      <w:pPr>
        <w:pStyle w:val="Default"/>
        <w:ind w:left="750"/>
        <w:jc w:val="both"/>
        <w:rPr>
          <w:rFonts w:cs="Calibri"/>
          <w:color w:val="auto"/>
          <w:sz w:val="22"/>
          <w:szCs w:val="22"/>
        </w:rPr>
      </w:pPr>
      <w:r>
        <w:rPr>
          <w:rFonts w:cs="Calibri"/>
          <w:color w:val="auto"/>
          <w:sz w:val="22"/>
          <w:szCs w:val="22"/>
        </w:rPr>
        <w:t xml:space="preserve">Kamu sağlığının korunması, koruyucu hekimlik, tıbbi teşhis, tedavi ve bakım hizmetlerinin yürütülmesi, sağlık hizmetleri ile finansmanının planlanması ve yönetimi amacıyla, sır saklama yükümlülüğü altında bulunan kişiler veya yetkili kurum ve kuruluşlar tarafından açık rıza aranmaksızın işlenebilecektir. Aksi durumda söz konusu özel nitelikli kişisel verilerin işlenebilmesi için veri sahibinin açık rızası alınacaktır. </w:t>
      </w:r>
    </w:p>
    <w:p>
      <w:pPr>
        <w:pStyle w:val="Title"/>
        <w:jc w:val="both"/>
        <w:rPr>
          <w:rFonts w:ascii="Cambria" w:hAnsi="Cambria"/>
          <w:b/>
          <w:color w:themeColor="text1" w:val="000000"/>
          <w:sz w:val="24"/>
          <w:szCs w:val="24"/>
        </w:rPr>
      </w:pPr>
      <w:r>
        <w:rPr>
          <w:b/>
          <w:color w:themeColor="text1" w:val="000000"/>
          <w:sz w:val="24"/>
          <w:szCs w:val="24"/>
        </w:rPr>
      </w:r>
    </w:p>
    <w:p>
      <w:pPr>
        <w:pStyle w:val="Title"/>
        <w:jc w:val="both"/>
        <w:rPr>
          <w:rFonts w:ascii="Cambria" w:hAnsi="Cambria"/>
          <w:b/>
          <w:color w:themeColor="text1" w:val="000000"/>
          <w:sz w:val="24"/>
          <w:szCs w:val="24"/>
        </w:rPr>
      </w:pPr>
      <w:r>
        <w:rPr>
          <w:b/>
          <w:color w:themeColor="text1" w:val="000000"/>
          <w:sz w:val="24"/>
          <w:szCs w:val="24"/>
        </w:rPr>
        <w:t>5. KİŞİSEL VERİ SAHİBİNİN AYDINLATILMASI</w:t>
      </w:r>
    </w:p>
    <w:p>
      <w:pPr>
        <w:pStyle w:val="ListParagraph"/>
        <w:spacing w:lineRule="auto" w:line="264" w:before="0" w:after="240"/>
        <w:ind w:left="0"/>
        <w:contextualSpacing/>
        <w:jc w:val="both"/>
        <w:rPr>
          <w:rFonts w:ascii="Cambria" w:hAnsi="Cambria" w:cs="Times New Roman" w:asciiTheme="majorHAnsi" w:hAnsiTheme="majorHAnsi"/>
          <w:sz w:val="24"/>
          <w:szCs w:val="24"/>
        </w:rPr>
      </w:pPr>
      <w:r>
        <w:rPr>
          <w:rFonts w:cs="Calibri" w:ascii="Cambria" w:hAnsi="Cambria" w:asciiTheme="majorHAnsi" w:hAnsiTheme="majorHAnsi"/>
          <w:sz w:val="24"/>
          <w:szCs w:val="24"/>
        </w:rPr>
        <w:t>SEYRAN KOLTUK</w:t>
      </w:r>
      <w:r>
        <w:rPr>
          <w:rFonts w:cs="Times New Roman" w:ascii="Cambria" w:hAnsi="Cambria" w:asciiTheme="majorHAnsi" w:hAnsiTheme="majorHAnsi"/>
          <w:sz w:val="24"/>
          <w:szCs w:val="24"/>
        </w:rPr>
        <w:t xml:space="preserve">, KVKK'nın 10. maddesine uygun olarak, kişisel verilerin elde edilmesi sırasında kişisel veri sahiplerini, verilerinin ne şekilde işleneceği konusunda aydınlatmaktadır. </w:t>
      </w:r>
      <w:r>
        <w:rPr>
          <w:rFonts w:ascii="Cambria" w:hAnsi="Cambria" w:asciiTheme="majorHAnsi" w:hAnsiTheme="majorHAnsi"/>
          <w:sz w:val="24"/>
          <w:szCs w:val="24"/>
        </w:rPr>
        <w:t xml:space="preserve">İlgili mevzuat kapsamında </w:t>
      </w:r>
      <w:r>
        <w:rPr>
          <w:rFonts w:cs="Calibri" w:ascii="Cambria" w:hAnsi="Cambria" w:asciiTheme="majorHAnsi" w:hAnsiTheme="majorHAnsi"/>
          <w:sz w:val="24"/>
          <w:szCs w:val="24"/>
        </w:rPr>
        <w:t>SEYRAN KOLTUK</w:t>
      </w:r>
      <w:r>
        <w:rPr>
          <w:rFonts w:ascii="Cambria" w:hAnsi="Cambria" w:asciiTheme="majorHAnsi" w:hAnsiTheme="majorHAnsi"/>
          <w:sz w:val="24"/>
          <w:szCs w:val="24"/>
        </w:rPr>
        <w:t xml:space="preserve">; kişisel veri elde ettiği tüm süreçleri tespit etmiş, bu süreçlerin tümü özelinde </w:t>
      </w:r>
      <w:r>
        <w:rPr>
          <w:rFonts w:cs="Calibri" w:ascii="Cambria" w:hAnsi="Cambria" w:asciiTheme="majorHAnsi" w:hAnsiTheme="majorHAnsi"/>
          <w:sz w:val="24"/>
          <w:szCs w:val="24"/>
        </w:rPr>
        <w:t>Seyran Koltuk</w:t>
      </w:r>
      <w:r>
        <w:rPr>
          <w:rFonts w:ascii="Cambria" w:hAnsi="Cambria" w:asciiTheme="majorHAnsi" w:hAnsiTheme="majorHAnsi"/>
          <w:sz w:val="24"/>
          <w:szCs w:val="24"/>
        </w:rPr>
        <w:t xml:space="preserve"> tarafından aydınlatma metinleri düzenlenmiştir. </w:t>
      </w:r>
      <w:r>
        <w:rPr>
          <w:rFonts w:cs="Times New Roman" w:ascii="Cambria" w:hAnsi="Cambria" w:asciiTheme="majorHAnsi" w:hAnsiTheme="majorHAnsi"/>
          <w:sz w:val="24"/>
          <w:szCs w:val="24"/>
        </w:rPr>
        <w:t>Bu metinler aracılığıyla kişisel veri sahipleri:</w:t>
      </w:r>
    </w:p>
    <w:p>
      <w:pPr>
        <w:pStyle w:val="ListParagraph"/>
        <w:spacing w:lineRule="auto" w:line="264" w:before="0" w:after="240"/>
        <w:ind w:left="0"/>
        <w:contextualSpacing/>
        <w:jc w:val="both"/>
        <w:rPr>
          <w:rFonts w:ascii="Cambria" w:hAnsi="Cambria"/>
          <w:sz w:val="22"/>
          <w:szCs w:val="22"/>
        </w:rPr>
      </w:pPr>
      <w:r>
        <w:rPr>
          <w:rFonts w:ascii="Cambria" w:hAnsi="Cambria"/>
          <w:sz w:val="22"/>
          <w:szCs w:val="22"/>
        </w:rPr>
      </w:r>
    </w:p>
    <w:p>
      <w:pPr>
        <w:pStyle w:val="ListParagraph"/>
        <w:numPr>
          <w:ilvl w:val="0"/>
          <w:numId w:val="3"/>
        </w:numPr>
        <w:spacing w:lineRule="auto" w:line="264" w:before="240" w:after="240"/>
        <w:contextualSpacing/>
        <w:jc w:val="both"/>
        <w:rPr>
          <w:rFonts w:ascii="Cambria" w:hAnsi="Cambria" w:cs="Times New Roman"/>
          <w:sz w:val="22"/>
          <w:szCs w:val="22"/>
        </w:rPr>
      </w:pPr>
      <w:r>
        <w:rPr>
          <w:rFonts w:ascii="Cambria" w:hAnsi="Cambria"/>
          <w:sz w:val="22"/>
          <w:szCs w:val="22"/>
        </w:rPr>
        <w:t xml:space="preserve">Veri sorumlusu olarak </w:t>
      </w:r>
      <w:r>
        <w:rPr>
          <w:rFonts w:cs="Calibri" w:ascii="Cambria" w:hAnsi="Cambria"/>
          <w:sz w:val="24"/>
          <w:szCs w:val="24"/>
        </w:rPr>
        <w:t>Seyran Koltuk’u</w:t>
      </w:r>
      <w:r>
        <w:rPr>
          <w:rFonts w:ascii="Cambria" w:hAnsi="Cambria"/>
          <w:sz w:val="22"/>
          <w:szCs w:val="22"/>
        </w:rPr>
        <w:t xml:space="preserve">n kimliği, </w:t>
      </w:r>
    </w:p>
    <w:p>
      <w:pPr>
        <w:pStyle w:val="ListParagraph"/>
        <w:numPr>
          <w:ilvl w:val="0"/>
          <w:numId w:val="3"/>
        </w:numPr>
        <w:spacing w:lineRule="auto" w:line="264"/>
        <w:jc w:val="both"/>
        <w:rPr>
          <w:rFonts w:ascii="Cambria" w:hAnsi="Cambria" w:cs="Times New Roman"/>
          <w:sz w:val="22"/>
          <w:szCs w:val="22"/>
        </w:rPr>
      </w:pPr>
      <w:r>
        <w:rPr>
          <w:rFonts w:ascii="Cambria" w:hAnsi="Cambria"/>
          <w:sz w:val="22"/>
          <w:szCs w:val="22"/>
        </w:rPr>
        <w:t xml:space="preserve"> </w:t>
      </w:r>
      <w:r>
        <w:rPr>
          <w:rFonts w:ascii="Cambria" w:hAnsi="Cambria"/>
          <w:sz w:val="22"/>
          <w:szCs w:val="22"/>
        </w:rPr>
        <w:t>Kişisel verilerinin hangi amaçla işleneceği,</w:t>
      </w:r>
    </w:p>
    <w:p>
      <w:pPr>
        <w:pStyle w:val="ListParagraph"/>
        <w:numPr>
          <w:ilvl w:val="0"/>
          <w:numId w:val="0"/>
        </w:numPr>
        <w:spacing w:lineRule="auto" w:line="264"/>
        <w:ind w:hanging="0" w:left="1440"/>
        <w:jc w:val="both"/>
        <w:rPr>
          <w:rFonts w:ascii="Cambria" w:hAnsi="Cambria" w:cs="Times New Roman"/>
          <w:sz w:val="22"/>
          <w:szCs w:val="22"/>
        </w:rPr>
      </w:pPr>
      <w:r>
        <w:rPr>
          <w:rFonts w:cs="Times New Roman" w:ascii="Cambria" w:hAnsi="Cambria"/>
          <w:sz w:val="22"/>
          <w:szCs w:val="22"/>
        </w:rPr>
      </w:r>
    </w:p>
    <w:p>
      <w:pPr>
        <w:pStyle w:val="ListParagraph"/>
        <w:numPr>
          <w:ilvl w:val="0"/>
          <w:numId w:val="3"/>
        </w:numPr>
        <w:spacing w:lineRule="auto" w:line="264"/>
        <w:jc w:val="both"/>
        <w:rPr>
          <w:rFonts w:ascii="Cambria" w:hAnsi="Cambria" w:cs="Times New Roman"/>
          <w:sz w:val="22"/>
          <w:szCs w:val="22"/>
        </w:rPr>
      </w:pPr>
      <w:r>
        <w:rPr>
          <w:rFonts w:ascii="Cambria" w:hAnsi="Cambria"/>
          <w:sz w:val="22"/>
          <w:szCs w:val="22"/>
        </w:rPr>
        <w:t xml:space="preserve"> </w:t>
      </w:r>
      <w:r>
        <w:rPr>
          <w:rFonts w:ascii="Cambria" w:hAnsi="Cambria"/>
          <w:sz w:val="22"/>
          <w:szCs w:val="22"/>
        </w:rPr>
        <w:t xml:space="preserve">Kişisel verilerin kimlere ve hangi amaçla aktarılabileceği, </w:t>
      </w:r>
    </w:p>
    <w:p>
      <w:pPr>
        <w:pStyle w:val="ListParagraph"/>
        <w:numPr>
          <w:ilvl w:val="0"/>
          <w:numId w:val="3"/>
        </w:numPr>
        <w:spacing w:lineRule="auto" w:line="264"/>
        <w:jc w:val="both"/>
        <w:rPr>
          <w:rFonts w:ascii="Cambria" w:hAnsi="Cambria" w:cs="Times New Roman"/>
          <w:sz w:val="22"/>
          <w:szCs w:val="22"/>
        </w:rPr>
      </w:pPr>
      <w:r>
        <w:rPr>
          <w:rFonts w:ascii="Cambria" w:hAnsi="Cambria"/>
          <w:sz w:val="22"/>
          <w:szCs w:val="22"/>
        </w:rPr>
        <w:t xml:space="preserve">Kişisel veri toplamamızın yöntemi ve hukuki sebepleri, </w:t>
      </w:r>
    </w:p>
    <w:p>
      <w:pPr>
        <w:pStyle w:val="ListParagraph"/>
        <w:numPr>
          <w:ilvl w:val="0"/>
          <w:numId w:val="3"/>
        </w:numPr>
        <w:spacing w:lineRule="auto" w:line="264"/>
        <w:jc w:val="both"/>
        <w:rPr>
          <w:rFonts w:ascii="Cambria" w:hAnsi="Cambria" w:cs="Times New Roman"/>
          <w:sz w:val="22"/>
          <w:szCs w:val="22"/>
        </w:rPr>
      </w:pPr>
      <w:r>
        <w:rPr>
          <w:rFonts w:ascii="Cambria" w:hAnsi="Cambria"/>
          <w:sz w:val="22"/>
          <w:szCs w:val="22"/>
        </w:rPr>
        <w:t xml:space="preserve"> </w:t>
      </w:r>
      <w:r>
        <w:rPr>
          <w:rFonts w:ascii="Cambria" w:hAnsi="Cambria"/>
          <w:sz w:val="22"/>
          <w:szCs w:val="22"/>
        </w:rPr>
        <w:t>Kişisel veri sahibi olarak sahip oldukları haklar</w:t>
      </w:r>
    </w:p>
    <w:p>
      <w:pPr>
        <w:pStyle w:val="Normal"/>
        <w:rPr>
          <w:rFonts w:ascii="Cambria" w:hAnsi="Cambria" w:cs="Calibri"/>
          <w:sz w:val="24"/>
          <w:szCs w:val="24"/>
        </w:rPr>
      </w:pPr>
      <w:r>
        <w:rPr>
          <w:rFonts w:cs="Calibri" w:ascii="Cambria" w:hAnsi="Cambria"/>
          <w:sz w:val="24"/>
          <w:szCs w:val="24"/>
        </w:rPr>
        <w:t>Konusun da Seyran Koltuk tarafından bilgilendirilmektedirler.</w:t>
      </w:r>
    </w:p>
    <w:p>
      <w:pPr>
        <w:pStyle w:val="Default"/>
        <w:jc w:val="both"/>
        <w:rPr>
          <w:rFonts w:ascii="Calibri" w:hAnsi="Calibri" w:cs="Calibri"/>
          <w:color w:val="auto"/>
        </w:rPr>
      </w:pPr>
      <w:r>
        <w:rPr>
          <w:rFonts w:cs="Calibri" w:ascii="Calibri" w:hAnsi="Calibri"/>
          <w:color w:val="auto"/>
        </w:rPr>
      </w:r>
    </w:p>
    <w:p>
      <w:pPr>
        <w:pStyle w:val="Title"/>
        <w:rPr>
          <w:rFonts w:ascii="Cambria" w:hAnsi="Cambria"/>
          <w:b/>
          <w:color w:themeColor="text1" w:val="000000"/>
          <w:sz w:val="24"/>
          <w:szCs w:val="24"/>
        </w:rPr>
      </w:pPr>
      <w:r>
        <w:rPr>
          <w:b/>
          <w:color w:themeColor="text1" w:val="000000"/>
          <w:sz w:val="24"/>
          <w:szCs w:val="24"/>
        </w:rPr>
      </w:r>
    </w:p>
    <w:p>
      <w:pPr>
        <w:pStyle w:val="Title"/>
        <w:rPr>
          <w:rFonts w:ascii="Cambria" w:hAnsi="Cambria"/>
          <w:b/>
          <w:color w:themeColor="text1" w:val="000000"/>
          <w:sz w:val="24"/>
          <w:szCs w:val="24"/>
        </w:rPr>
      </w:pPr>
      <w:r>
        <w:rPr>
          <w:b/>
          <w:color w:themeColor="text1" w:val="000000"/>
          <w:sz w:val="24"/>
          <w:szCs w:val="24"/>
        </w:rPr>
        <w:t>6. KİŞİSEL VERİLERİN AKTARILMASI</w:t>
      </w:r>
    </w:p>
    <w:p>
      <w:pPr>
        <w:pStyle w:val="Default"/>
        <w:jc w:val="both"/>
        <w:rPr>
          <w:rFonts w:cs="Calibri"/>
          <w:color w:val="auto"/>
        </w:rPr>
      </w:pPr>
      <w:r>
        <w:rPr>
          <w:rFonts w:cs="Calibri"/>
          <w:color w:val="auto"/>
        </w:rPr>
        <w:t xml:space="preserve">Kişisel veri sahibinin açık rızası olmasa dahi aşağıda belirtilen şartlardan bir ya da birkaçının mevcut olması halinde </w:t>
      </w:r>
      <w:r>
        <w:rPr>
          <w:rFonts w:cs="Calibri"/>
          <w:color w:val="auto"/>
          <w:sz w:val="24"/>
          <w:szCs w:val="24"/>
        </w:rPr>
        <w:t>SEYRAN KOLTUK</w:t>
      </w:r>
      <w:r>
        <w:rPr>
          <w:rFonts w:cs="Calibri"/>
          <w:color w:val="auto"/>
        </w:rPr>
        <w:t xml:space="preserve"> tarafından gerekli özen gösterilerek ve Kurul tarafından öngörülen yöntemler de dahil gerekli tüm güvenlik önlemleri alınarak kişisel veriler üçüncü kişilere aktarılabilecektir:</w:t>
      </w:r>
    </w:p>
    <w:p>
      <w:pPr>
        <w:pStyle w:val="Default"/>
        <w:jc w:val="both"/>
        <w:rPr>
          <w:rFonts w:cs="Calibri"/>
          <w:color w:val="auto"/>
          <w:sz w:val="22"/>
          <w:szCs w:val="22"/>
        </w:rPr>
      </w:pPr>
      <w:r>
        <w:rPr>
          <w:rFonts w:cs="Calibri"/>
          <w:color w:val="auto"/>
          <w:sz w:val="22"/>
          <w:szCs w:val="22"/>
        </w:rPr>
      </w:r>
    </w:p>
    <w:p>
      <w:pPr>
        <w:pStyle w:val="Default"/>
        <w:numPr>
          <w:ilvl w:val="0"/>
          <w:numId w:val="4"/>
        </w:numPr>
        <w:jc w:val="both"/>
        <w:rPr>
          <w:rFonts w:cs="Calibri"/>
          <w:color w:val="auto"/>
          <w:sz w:val="22"/>
          <w:szCs w:val="22"/>
        </w:rPr>
      </w:pPr>
      <w:r>
        <w:rPr>
          <w:rFonts w:cs="Calibri"/>
          <w:color w:val="auto"/>
          <w:sz w:val="22"/>
          <w:szCs w:val="22"/>
        </w:rPr>
        <w:t xml:space="preserve">Kişisel verilerin aktarılmasına ilişkin ilgili faaliyetlerin kanunlarda açıkça öngörülmesi, </w:t>
      </w:r>
    </w:p>
    <w:p>
      <w:pPr>
        <w:pStyle w:val="Default"/>
        <w:numPr>
          <w:ilvl w:val="0"/>
          <w:numId w:val="4"/>
        </w:numPr>
        <w:jc w:val="both"/>
        <w:rPr>
          <w:rFonts w:cs="Calibri"/>
          <w:color w:val="auto"/>
          <w:sz w:val="22"/>
          <w:szCs w:val="22"/>
        </w:rPr>
      </w:pPr>
      <w:r>
        <w:rPr>
          <w:rFonts w:cs="Calibri"/>
          <w:color w:val="auto"/>
          <w:sz w:val="22"/>
          <w:szCs w:val="22"/>
        </w:rPr>
        <w:t xml:space="preserve">Kişisel verilerin </w:t>
      </w:r>
      <w:r>
        <w:rPr>
          <w:rFonts w:cs="Calibri"/>
          <w:color w:val="auto"/>
          <w:sz w:val="24"/>
          <w:szCs w:val="24"/>
        </w:rPr>
        <w:t>Seyran Koltuk</w:t>
      </w:r>
      <w:r>
        <w:rPr>
          <w:rFonts w:cs="Calibri"/>
          <w:color w:val="auto"/>
          <w:sz w:val="22"/>
          <w:szCs w:val="22"/>
        </w:rPr>
        <w:t xml:space="preserve"> tarafından aktarılmasının bir sözleşmenin kurulması veya ifasıyla doğrudan doğruya ilgili ve gerekli olması, </w:t>
      </w:r>
    </w:p>
    <w:p>
      <w:pPr>
        <w:pStyle w:val="Default"/>
        <w:numPr>
          <w:ilvl w:val="0"/>
          <w:numId w:val="4"/>
        </w:numPr>
        <w:jc w:val="both"/>
        <w:rPr>
          <w:rFonts w:cs="Calibri"/>
          <w:color w:val="auto"/>
          <w:sz w:val="22"/>
          <w:szCs w:val="22"/>
        </w:rPr>
      </w:pPr>
      <w:r>
        <w:rPr>
          <w:rFonts w:cs="Calibri"/>
          <w:color w:val="auto"/>
          <w:sz w:val="22"/>
          <w:szCs w:val="22"/>
        </w:rPr>
        <w:t xml:space="preserve">Kişisel verilerin aktarılmasının </w:t>
      </w:r>
      <w:r>
        <w:rPr>
          <w:rFonts w:cs="Calibri"/>
          <w:color w:val="auto"/>
          <w:sz w:val="24"/>
          <w:szCs w:val="24"/>
        </w:rPr>
        <w:t>Seyran Koltuk’u</w:t>
      </w:r>
      <w:r>
        <w:rPr>
          <w:rFonts w:cs="Calibri"/>
          <w:color w:val="auto"/>
          <w:sz w:val="22"/>
          <w:szCs w:val="22"/>
        </w:rPr>
        <w:t xml:space="preserve">n hukuki yükümlülüğünü yerine getirebilmesi için zorunlu olması, </w:t>
      </w:r>
    </w:p>
    <w:p>
      <w:pPr>
        <w:pStyle w:val="Default"/>
        <w:numPr>
          <w:ilvl w:val="0"/>
          <w:numId w:val="4"/>
        </w:numPr>
        <w:jc w:val="both"/>
        <w:rPr>
          <w:rFonts w:cs="Calibri"/>
          <w:color w:val="auto"/>
          <w:sz w:val="22"/>
          <w:szCs w:val="22"/>
        </w:rPr>
      </w:pPr>
      <w:r>
        <w:rPr>
          <w:rFonts w:cs="Calibri"/>
          <w:color w:val="auto"/>
          <w:sz w:val="22"/>
          <w:szCs w:val="22"/>
        </w:rPr>
        <w:t xml:space="preserve">Kişisel verilerin veri sahibi tarafından alenileştirilmiş olması şartıyla, alenileştirme amacıyla sınırlı bir şekilde </w:t>
      </w:r>
      <w:r>
        <w:rPr>
          <w:rFonts w:cs="Calibri"/>
          <w:color w:val="auto"/>
          <w:sz w:val="24"/>
          <w:szCs w:val="24"/>
        </w:rPr>
        <w:t xml:space="preserve">Seyran Koltuk </w:t>
      </w:r>
      <w:r>
        <w:rPr>
          <w:rFonts w:cs="Calibri"/>
          <w:color w:val="auto"/>
          <w:sz w:val="22"/>
          <w:szCs w:val="22"/>
        </w:rPr>
        <w:t xml:space="preserve">tarafından aktarılması, </w:t>
      </w:r>
    </w:p>
    <w:p>
      <w:pPr>
        <w:pStyle w:val="Default"/>
        <w:numPr>
          <w:ilvl w:val="0"/>
          <w:numId w:val="4"/>
        </w:numPr>
        <w:jc w:val="both"/>
        <w:rPr>
          <w:rFonts w:cs="Calibri"/>
          <w:color w:val="auto"/>
          <w:sz w:val="22"/>
          <w:szCs w:val="22"/>
        </w:rPr>
      </w:pPr>
      <w:r>
        <w:rPr>
          <w:rFonts w:cs="Calibri"/>
          <w:color w:val="auto"/>
          <w:sz w:val="22"/>
          <w:szCs w:val="22"/>
        </w:rPr>
        <w:t xml:space="preserve">Kişisel verilerin </w:t>
      </w:r>
      <w:r>
        <w:rPr>
          <w:rFonts w:cs="Calibri"/>
          <w:color w:val="auto"/>
          <w:sz w:val="24"/>
          <w:szCs w:val="24"/>
        </w:rPr>
        <w:t>Seyran Koltuk</w:t>
      </w:r>
      <w:r>
        <w:rPr>
          <w:rFonts w:cs="Calibri"/>
          <w:color w:val="auto"/>
          <w:sz w:val="22"/>
          <w:szCs w:val="22"/>
        </w:rPr>
        <w:t xml:space="preserve"> tarafından aktarılmasının </w:t>
      </w:r>
      <w:r>
        <w:rPr>
          <w:rFonts w:cs="Calibri"/>
          <w:color w:val="auto"/>
          <w:sz w:val="24"/>
          <w:szCs w:val="24"/>
        </w:rPr>
        <w:t>Seyran Koltuk’u</w:t>
      </w:r>
      <w:r>
        <w:rPr>
          <w:rFonts w:cs="Calibri"/>
          <w:color w:val="auto"/>
          <w:sz w:val="22"/>
          <w:szCs w:val="22"/>
        </w:rPr>
        <w:t xml:space="preserve">n veya veri sahibinin veya üçüncü kişilerin haklarının tesisi, kullanılması veya korunması için zorunlu olması, </w:t>
      </w:r>
    </w:p>
    <w:p>
      <w:pPr>
        <w:pStyle w:val="Default"/>
        <w:numPr>
          <w:ilvl w:val="0"/>
          <w:numId w:val="4"/>
        </w:numPr>
        <w:jc w:val="both"/>
        <w:rPr>
          <w:rFonts w:cs="Calibri"/>
          <w:color w:val="auto"/>
          <w:sz w:val="22"/>
          <w:szCs w:val="22"/>
        </w:rPr>
      </w:pPr>
      <w:r>
        <w:rPr>
          <w:rFonts w:cs="Calibri"/>
          <w:color w:val="auto"/>
          <w:sz w:val="22"/>
          <w:szCs w:val="22"/>
        </w:rPr>
        <w:t xml:space="preserve">Veri sahibinin temel hak ve özgürlüklerine zarar vermemek kaydıyla </w:t>
      </w:r>
      <w:r>
        <w:rPr>
          <w:rFonts w:cs="Calibri"/>
          <w:color w:val="auto"/>
          <w:sz w:val="24"/>
          <w:szCs w:val="24"/>
        </w:rPr>
        <w:t>Seyran Koltuk</w:t>
      </w:r>
      <w:r>
        <w:rPr>
          <w:rFonts w:cs="Calibri"/>
          <w:color w:val="auto"/>
          <w:sz w:val="22"/>
          <w:szCs w:val="22"/>
        </w:rPr>
        <w:t xml:space="preserve"> meşru menfaatleri için kişisel veri aktarımı faaliyetinde bulunulmasının zorunlu olması, </w:t>
      </w:r>
    </w:p>
    <w:p>
      <w:pPr>
        <w:pStyle w:val="Default"/>
        <w:numPr>
          <w:ilvl w:val="0"/>
          <w:numId w:val="4"/>
        </w:numPr>
        <w:jc w:val="both"/>
        <w:rPr>
          <w:rFonts w:cs="Calibri"/>
          <w:color w:val="auto"/>
          <w:sz w:val="22"/>
          <w:szCs w:val="22"/>
        </w:rPr>
      </w:pPr>
      <w:r>
        <w:rPr>
          <w:rFonts w:cs="Calibri"/>
          <w:color w:val="auto"/>
          <w:sz w:val="22"/>
          <w:szCs w:val="22"/>
        </w:rPr>
        <w:t xml:space="preserve">Fiili imkansızlık nedeniyle rızasını açıklayamayacak durumda bulunan veya rızasına hukuki geçerlilik tanınmayan kişinin kendisinin ya da bir başkasının hayatı veya beden bütünlüğünü koruması için zorunlu olması. </w:t>
      </w:r>
    </w:p>
    <w:p>
      <w:pPr>
        <w:pStyle w:val="Default"/>
        <w:jc w:val="both"/>
        <w:rPr>
          <w:rFonts w:cs="Calibri"/>
          <w:color w:val="auto"/>
          <w:sz w:val="22"/>
          <w:szCs w:val="22"/>
        </w:rPr>
      </w:pPr>
      <w:r>
        <w:rPr>
          <w:rFonts w:cs="Calibri"/>
          <w:color w:val="auto"/>
          <w:sz w:val="22"/>
          <w:szCs w:val="22"/>
        </w:rPr>
      </w:r>
    </w:p>
    <w:p>
      <w:pPr>
        <w:pStyle w:val="Default"/>
        <w:jc w:val="both"/>
        <w:rPr>
          <w:rFonts w:cs="Calibri"/>
          <w:color w:val="auto"/>
        </w:rPr>
      </w:pPr>
      <w:r>
        <w:rPr>
          <w:rFonts w:cs="Calibri"/>
          <w:color w:val="auto"/>
          <w:sz w:val="24"/>
          <w:szCs w:val="24"/>
        </w:rPr>
        <w:t>Seyran Koltuk</w:t>
      </w:r>
      <w:r>
        <w:rPr>
          <w:rFonts w:cs="Calibri"/>
          <w:color w:val="auto"/>
        </w:rPr>
        <w:t xml:space="preserve"> ile paylaştığınız kişisel verileriniz, Kurul tarafından yeterli korumaya sahip olduğu ilan edilen yabancı ülkelere yukarıdaki şartlardan herhangi birinin varlığı halinde aktarılabilecektir. Yeterli korumanın bulunmaması durumunda ise mevzuatta öngörülen veri aktarım şartları doğrultusunda Türkiye’deki ve ilgili yabancı ülkedeki veri sorumlularının yeterli bir korumayı yazılı olarak taahhüt ettiği ve Kurul’un izninin bulunduğu yabancı ülkelere aktarılabilecektir. </w:t>
      </w:r>
    </w:p>
    <w:p>
      <w:pPr>
        <w:pStyle w:val="Default"/>
        <w:jc w:val="both"/>
        <w:rPr>
          <w:rFonts w:cs="Calibri"/>
          <w:color w:val="auto"/>
          <w:sz w:val="22"/>
          <w:szCs w:val="22"/>
        </w:rPr>
      </w:pPr>
      <w:r>
        <w:rPr>
          <w:rFonts w:cs="Calibri"/>
          <w:color w:val="auto"/>
          <w:sz w:val="22"/>
          <w:szCs w:val="22"/>
        </w:rPr>
      </w:r>
    </w:p>
    <w:p>
      <w:pPr>
        <w:pStyle w:val="Default"/>
        <w:jc w:val="both"/>
        <w:rPr>
          <w:b/>
          <w:color w:themeColor="text1" w:val="000000"/>
        </w:rPr>
      </w:pPr>
      <w:r>
        <w:rPr>
          <w:b/>
          <w:color w:themeColor="text1" w:val="000000"/>
        </w:rPr>
        <w:t>6.2. Özel Nitelikli Kişisel Verilerin Aktarılması</w:t>
      </w:r>
    </w:p>
    <w:p>
      <w:pPr>
        <w:pStyle w:val="Default"/>
        <w:jc w:val="both"/>
        <w:rPr/>
      </w:pPr>
      <w:r>
        <w:rPr/>
      </w:r>
    </w:p>
    <w:p>
      <w:pPr>
        <w:pStyle w:val="Default"/>
        <w:jc w:val="both"/>
        <w:rPr/>
      </w:pPr>
      <w:r>
        <w:rPr/>
        <w:t xml:space="preserve">Özel nitelikli kişisel veriler </w:t>
      </w:r>
      <w:r>
        <w:rPr>
          <w:rFonts w:cs="Calibri"/>
          <w:sz w:val="24"/>
          <w:szCs w:val="24"/>
        </w:rPr>
        <w:t xml:space="preserve">Seyran Koltuk </w:t>
      </w:r>
      <w:r>
        <w:rPr/>
        <w:t xml:space="preserve">tarafından, işbu Politika’da belirtilen ilkelere uygun olarak ve Kurul’un belirleyeceği yöntemler de dahil olmak üzere gerekli her türlü idari ve teknik tedbirler alınarak ve aşağıdaki şartların varlığı halinde aktarılabilecektir: </w:t>
      </w:r>
    </w:p>
    <w:p>
      <w:pPr>
        <w:pStyle w:val="Default"/>
        <w:jc w:val="both"/>
        <w:rPr/>
      </w:pPr>
      <w:r>
        <w:rPr/>
      </w:r>
    </w:p>
    <w:p>
      <w:pPr>
        <w:pStyle w:val="Default"/>
        <w:numPr>
          <w:ilvl w:val="0"/>
          <w:numId w:val="0"/>
        </w:numPr>
        <w:ind w:hanging="0" w:left="720"/>
        <w:jc w:val="both"/>
        <w:rPr>
          <w:rFonts w:cs="Calibri"/>
          <w:b/>
          <w:color w:val="auto"/>
          <w:sz w:val="22"/>
          <w:szCs w:val="22"/>
        </w:rPr>
      </w:pPr>
      <w:r>
        <w:rPr>
          <w:rFonts w:cs="Calibri"/>
          <w:b/>
          <w:color w:val="auto"/>
          <w:sz w:val="22"/>
          <w:szCs w:val="22"/>
        </w:rPr>
      </w:r>
    </w:p>
    <w:p>
      <w:pPr>
        <w:pStyle w:val="Default"/>
        <w:numPr>
          <w:ilvl w:val="0"/>
          <w:numId w:val="5"/>
        </w:numPr>
        <w:jc w:val="both"/>
        <w:rPr>
          <w:rFonts w:cs="Calibri"/>
          <w:b/>
          <w:color w:val="auto"/>
          <w:sz w:val="22"/>
          <w:szCs w:val="22"/>
        </w:rPr>
      </w:pPr>
      <w:r>
        <w:rPr>
          <w:b/>
        </w:rPr>
        <w:t>Sağlık ve cinsel hayat dışındaki özel nitelikli kişisel veriler</w:t>
      </w:r>
    </w:p>
    <w:p>
      <w:pPr>
        <w:pStyle w:val="Default"/>
        <w:ind w:left="720"/>
        <w:jc w:val="both"/>
        <w:rPr>
          <w:rFonts w:cs="Calibri"/>
          <w:b/>
          <w:color w:val="auto"/>
          <w:sz w:val="22"/>
          <w:szCs w:val="22"/>
        </w:rPr>
      </w:pPr>
      <w:r>
        <w:rPr>
          <w:rFonts w:cs="Calibri"/>
          <w:b/>
          <w:color w:val="auto"/>
          <w:sz w:val="22"/>
          <w:szCs w:val="22"/>
        </w:rPr>
      </w:r>
    </w:p>
    <w:p>
      <w:pPr>
        <w:pStyle w:val="Default"/>
        <w:jc w:val="both"/>
        <w:rPr/>
      </w:pPr>
      <w:r>
        <w:rPr/>
        <w:t xml:space="preserve">Kanunlarda açıkça öngörülmesi diğer bir ifade ile ilgili kanunda kişisel verilerin işlenmesine ilişkin açıkça bir hüküm olması halinde veri sahibinin açık rıza aranmaksızın aktarılabilecektir. Aksi halde veri sahibinin açık rızası alınacaktır. </w:t>
      </w:r>
    </w:p>
    <w:p>
      <w:pPr>
        <w:pStyle w:val="Default"/>
        <w:jc w:val="both"/>
        <w:rPr/>
      </w:pPr>
      <w:r>
        <w:rPr/>
      </w:r>
    </w:p>
    <w:p>
      <w:pPr>
        <w:pStyle w:val="Default"/>
        <w:numPr>
          <w:ilvl w:val="0"/>
          <w:numId w:val="5"/>
        </w:numPr>
        <w:jc w:val="both"/>
        <w:rPr>
          <w:rFonts w:cs="Calibri"/>
          <w:b/>
          <w:color w:val="auto"/>
          <w:sz w:val="22"/>
          <w:szCs w:val="22"/>
        </w:rPr>
      </w:pPr>
      <w:r>
        <w:rPr>
          <w:b/>
        </w:rPr>
        <w:t>Sağlık ve cinsel hayata ilişkin özel nitelikli kişisel veriler</w:t>
      </w:r>
    </w:p>
    <w:p>
      <w:pPr>
        <w:pStyle w:val="Default"/>
        <w:ind w:left="720"/>
        <w:jc w:val="both"/>
        <w:rPr/>
      </w:pPr>
      <w:r>
        <w:rPr/>
      </w:r>
    </w:p>
    <w:p>
      <w:pPr>
        <w:pStyle w:val="Default"/>
        <w:jc w:val="both"/>
        <w:rPr>
          <w:rFonts w:cs="Calibri"/>
          <w:color w:val="auto"/>
          <w:sz w:val="22"/>
          <w:szCs w:val="22"/>
        </w:rPr>
      </w:pPr>
      <w:r>
        <w:rPr/>
        <w:t>Kamu sağlığının korunması, koruyucu hekimlik, tıbbi teşhis, tedavi ve bakım hizmetlerinin yürütülmesi, sağlık hizmetleri ile finansmanının planlanması ve yönetimi amacıyla, sır saklama yükümlülüğü altında bulunan kişiler veya yetkili kurum ve kuruluşlar tarafından açık rıza aranmaksızın aktarılabilecektir. Aksi halde veri sahibinin açık rızası alınacaktır. Eğer özel nitelikli kişisel veriler yurt dışına aktarılacak ise yukarıda yer alan şartlara ek olarak yeterli korumaya sahip yabancı ülkelere veya yeterli korumayı taahhüt eden seri sorumlusunun bulunduğu yabancı ülkelere özel nitelikli kişisel veriler aktarılır.</w:t>
      </w:r>
    </w:p>
    <w:p>
      <w:pPr>
        <w:pStyle w:val="Default"/>
        <w:jc w:val="both"/>
        <w:rPr>
          <w:rFonts w:ascii="Calibri" w:hAnsi="Calibri" w:cs="Calibri"/>
          <w:color w:val="auto"/>
          <w:sz w:val="22"/>
          <w:szCs w:val="22"/>
        </w:rPr>
      </w:pPr>
      <w:r>
        <w:rPr>
          <w:rFonts w:cs="Calibri" w:ascii="Calibri" w:hAnsi="Calibri"/>
          <w:color w:val="auto"/>
          <w:sz w:val="22"/>
          <w:szCs w:val="22"/>
        </w:rPr>
      </w:r>
    </w:p>
    <w:p>
      <w:pPr>
        <w:pStyle w:val="Default"/>
        <w:jc w:val="both"/>
        <w:rPr>
          <w:b/>
          <w:color w:themeColor="text1" w:val="000000"/>
        </w:rPr>
      </w:pPr>
      <w:r>
        <w:rPr>
          <w:b/>
          <w:color w:themeColor="text1" w:val="000000"/>
        </w:rPr>
        <w:t xml:space="preserve">6.3. </w:t>
      </w:r>
      <w:r>
        <w:rPr>
          <w:rFonts w:cs="Calibri"/>
          <w:b/>
          <w:color w:themeColor="text1" w:val="000000"/>
          <w:sz w:val="24"/>
          <w:szCs w:val="24"/>
        </w:rPr>
        <w:t>Seyran Koltuk</w:t>
      </w:r>
      <w:r>
        <w:rPr>
          <w:b/>
          <w:color w:themeColor="text1" w:val="000000"/>
        </w:rPr>
        <w:t xml:space="preserve"> Tarafından Kişisel Verilerin Aktarıldığı Üçüncü Kişiler ve Aktarılma Amaçları </w:t>
      </w:r>
    </w:p>
    <w:p>
      <w:pPr>
        <w:pStyle w:val="Default"/>
        <w:jc w:val="both"/>
        <w:rPr>
          <w:color w:val="C00000"/>
        </w:rPr>
      </w:pPr>
      <w:r>
        <w:rPr>
          <w:color w:val="C00000"/>
        </w:rPr>
      </w:r>
    </w:p>
    <w:p>
      <w:pPr>
        <w:pStyle w:val="Default"/>
        <w:jc w:val="both"/>
        <w:rPr>
          <w:color w:val="C00000"/>
        </w:rPr>
      </w:pPr>
      <w:r>
        <w:rPr>
          <w:rFonts w:cs="Calibri"/>
          <w:sz w:val="24"/>
          <w:szCs w:val="24"/>
        </w:rPr>
        <w:t>Seyran Koltuk</w:t>
      </w:r>
      <w:r>
        <w:rPr/>
        <w:t xml:space="preserve"> hukuka uygun olan kişisel veri işleme amaçları doğrultusunda gerekli güvenlik önlemlerini alarak kişisel veri sahibinin kişisel verilerini ve özel nitelikli kişisel verilerini üçüncü kişilere (üçüncü kişi şirketlere, resmi ve özel mercilere, üçüncü gerçek kişilere) aktarabilmektedir. </w:t>
      </w:r>
      <w:r>
        <w:rPr>
          <w:rFonts w:cs="Calibri"/>
          <w:sz w:val="24"/>
          <w:szCs w:val="24"/>
        </w:rPr>
        <w:t>Seyran Koltuk</w:t>
      </w:r>
      <w:r>
        <w:rPr/>
        <w:t xml:space="preserve"> bu doğrultuda Kanun’un 8. maddesinde öngörülen düzenlemelere uygun hareket etmektedir.</w:t>
      </w:r>
    </w:p>
    <w:p>
      <w:pPr>
        <w:pStyle w:val="Default"/>
        <w:jc w:val="both"/>
        <w:rPr/>
      </w:pPr>
      <w:r>
        <w:rPr/>
      </w:r>
    </w:p>
    <w:p>
      <w:pPr>
        <w:pStyle w:val="Default"/>
        <w:spacing w:before="0" w:after="240"/>
        <w:jc w:val="both"/>
        <w:rPr/>
      </w:pPr>
      <w:r>
        <w:rPr>
          <w:rFonts w:cs="Calibri"/>
          <w:sz w:val="24"/>
          <w:szCs w:val="24"/>
        </w:rPr>
        <w:t>Seyran Koltuk</w:t>
      </w:r>
      <w:r>
        <w:rPr/>
        <w:t xml:space="preserve">, KVKK'nın 8. ve 9. maddelerine uygun olarak işbu Politika ile yönetilen veri sahiplerinin kişisel verilerini aşağıda sıralanan kişi kategorilerine aktarılabilir: </w:t>
      </w:r>
    </w:p>
    <w:p>
      <w:pPr>
        <w:pStyle w:val="Default"/>
        <w:ind w:left="720"/>
        <w:jc w:val="both"/>
        <w:rPr>
          <w:rFonts w:ascii="Calibri" w:hAnsi="Calibri" w:cs="Calibri"/>
          <w:color w:val="auto"/>
          <w:sz w:val="22"/>
          <w:szCs w:val="22"/>
        </w:rPr>
      </w:pPr>
      <w:r>
        <w:rPr>
          <w:rFonts w:cs="Calibri" w:ascii="Calibri" w:hAnsi="Calibri"/>
          <w:color w:val="auto"/>
          <w:sz w:val="22"/>
          <w:szCs w:val="22"/>
        </w:rPr>
      </w:r>
    </w:p>
    <w:p>
      <w:pPr>
        <w:pStyle w:val="Default"/>
        <w:numPr>
          <w:ilvl w:val="0"/>
          <w:numId w:val="1"/>
        </w:numPr>
        <w:jc w:val="both"/>
        <w:rPr>
          <w:rFonts w:ascii="Calibri" w:hAnsi="Calibri" w:cs="Calibri"/>
          <w:color w:val="auto"/>
          <w:sz w:val="22"/>
          <w:szCs w:val="22"/>
        </w:rPr>
      </w:pPr>
      <w:r>
        <w:rPr>
          <w:rFonts w:cs="Calibri"/>
          <w:sz w:val="24"/>
          <w:szCs w:val="24"/>
        </w:rPr>
        <w:t>SEYRAN KOLTUK</w:t>
      </w:r>
      <w:r>
        <w:rPr/>
        <w:t xml:space="preserve"> iş ortaklarına, </w:t>
      </w:r>
    </w:p>
    <w:p>
      <w:pPr>
        <w:pStyle w:val="Default"/>
        <w:numPr>
          <w:ilvl w:val="0"/>
          <w:numId w:val="1"/>
        </w:numPr>
        <w:jc w:val="both"/>
        <w:rPr>
          <w:rFonts w:ascii="Calibri" w:hAnsi="Calibri" w:cs="Calibri"/>
          <w:color w:val="auto"/>
          <w:sz w:val="22"/>
          <w:szCs w:val="22"/>
        </w:rPr>
      </w:pPr>
      <w:r>
        <w:rPr>
          <w:rFonts w:cs="Calibri"/>
          <w:sz w:val="24"/>
          <w:szCs w:val="24"/>
        </w:rPr>
        <w:t>SEYRAN KOLTUK</w:t>
      </w:r>
      <w:r>
        <w:rPr/>
        <w:t xml:space="preserve"> tedarikçilerine, </w:t>
      </w:r>
    </w:p>
    <w:p>
      <w:pPr>
        <w:pStyle w:val="Default"/>
        <w:numPr>
          <w:ilvl w:val="0"/>
          <w:numId w:val="1"/>
        </w:numPr>
        <w:jc w:val="both"/>
        <w:rPr>
          <w:rFonts w:ascii="Calibri" w:hAnsi="Calibri" w:cs="Calibri"/>
          <w:color w:val="auto"/>
          <w:sz w:val="22"/>
          <w:szCs w:val="22"/>
        </w:rPr>
      </w:pPr>
      <w:r>
        <w:rPr/>
        <w:t>Kanunen Yetkili kamu kurum ve kuruluşlarına</w:t>
      </w:r>
    </w:p>
    <w:p>
      <w:pPr>
        <w:pStyle w:val="Default"/>
        <w:numPr>
          <w:ilvl w:val="0"/>
          <w:numId w:val="1"/>
        </w:numPr>
        <w:spacing w:before="0" w:after="240"/>
        <w:jc w:val="both"/>
        <w:rPr>
          <w:rFonts w:ascii="Calibri" w:hAnsi="Calibri" w:cs="Calibri"/>
          <w:color w:val="auto"/>
          <w:sz w:val="22"/>
          <w:szCs w:val="22"/>
        </w:rPr>
      </w:pPr>
      <w:r>
        <w:rPr/>
        <w:t>Kanunen yetkili özel hukuk kişilerine</w:t>
      </w:r>
    </w:p>
    <w:p>
      <w:pPr>
        <w:pStyle w:val="Default"/>
        <w:spacing w:before="0" w:after="240"/>
        <w:jc w:val="both"/>
        <w:rPr/>
      </w:pPr>
      <w:r>
        <w:rPr/>
      </w:r>
    </w:p>
    <w:tbl>
      <w:tblPr>
        <w:tblStyle w:val="TabloKlavuzu"/>
        <w:tblW w:w="10348"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2691"/>
        <w:gridCol w:w="3687"/>
        <w:gridCol w:w="3970"/>
      </w:tblGrid>
      <w:tr>
        <w:trPr>
          <w:trHeight w:val="936" w:hRule="atLeast"/>
        </w:trPr>
        <w:tc>
          <w:tcPr>
            <w:tcW w:w="2691" w:type="dxa"/>
            <w:tcBorders/>
            <w:vAlign w:val="center"/>
          </w:tcPr>
          <w:p>
            <w:pPr>
              <w:pStyle w:val="Default"/>
              <w:widowControl/>
              <w:suppressAutoHyphens w:val="true"/>
              <w:spacing w:before="0" w:after="0"/>
              <w:jc w:val="center"/>
              <w:rPr>
                <w:b/>
              </w:rPr>
            </w:pPr>
            <w:r>
              <w:rPr>
                <w:rFonts w:eastAsia="Calibri"/>
                <w:b/>
                <w:kern w:val="0"/>
                <w:lang w:val="tr-TR" w:eastAsia="en-US" w:bidi="ar-SA"/>
              </w:rPr>
              <w:t>Veri Aktarımı Yapılabilecek Kişiler</w:t>
            </w:r>
          </w:p>
        </w:tc>
        <w:tc>
          <w:tcPr>
            <w:tcW w:w="3687" w:type="dxa"/>
            <w:tcBorders/>
            <w:vAlign w:val="center"/>
          </w:tcPr>
          <w:p>
            <w:pPr>
              <w:pStyle w:val="Default"/>
              <w:widowControl/>
              <w:suppressAutoHyphens w:val="true"/>
              <w:spacing w:before="0" w:after="0"/>
              <w:jc w:val="center"/>
              <w:rPr>
                <w:b/>
              </w:rPr>
            </w:pPr>
            <w:r>
              <w:rPr>
                <w:rFonts w:eastAsia="Calibri"/>
                <w:b/>
                <w:kern w:val="0"/>
                <w:lang w:val="tr-TR" w:eastAsia="en-US" w:bidi="ar-SA"/>
              </w:rPr>
              <w:t>Tanımı</w:t>
            </w:r>
          </w:p>
        </w:tc>
        <w:tc>
          <w:tcPr>
            <w:tcW w:w="3970" w:type="dxa"/>
            <w:tcBorders/>
            <w:vAlign w:val="center"/>
          </w:tcPr>
          <w:p>
            <w:pPr>
              <w:pStyle w:val="Default"/>
              <w:widowControl/>
              <w:suppressAutoHyphens w:val="true"/>
              <w:spacing w:before="0" w:after="0"/>
              <w:jc w:val="center"/>
              <w:rPr>
                <w:b/>
              </w:rPr>
            </w:pPr>
            <w:r>
              <w:rPr>
                <w:rFonts w:eastAsia="Calibri"/>
                <w:b/>
                <w:kern w:val="0"/>
                <w:lang w:val="tr-TR" w:eastAsia="en-US" w:bidi="ar-SA"/>
              </w:rPr>
              <w:t>Veri Aktarım Amacı</w:t>
            </w:r>
          </w:p>
        </w:tc>
      </w:tr>
      <w:tr>
        <w:trPr>
          <w:trHeight w:val="2253" w:hRule="atLeast"/>
        </w:trPr>
        <w:tc>
          <w:tcPr>
            <w:tcW w:w="2691" w:type="dxa"/>
            <w:tcBorders/>
            <w:vAlign w:val="center"/>
          </w:tcPr>
          <w:p>
            <w:pPr>
              <w:pStyle w:val="Default"/>
              <w:widowControl/>
              <w:suppressAutoHyphens w:val="true"/>
              <w:spacing w:before="0" w:after="240"/>
              <w:jc w:val="left"/>
              <w:rPr>
                <w:b/>
                <w:color w:themeColor="text1" w:val="000000"/>
              </w:rPr>
            </w:pPr>
            <w:r>
              <w:rPr>
                <w:rFonts w:eastAsia="Calibri"/>
                <w:b/>
                <w:color w:themeColor="text1" w:val="000000"/>
                <w:kern w:val="0"/>
                <w:lang w:val="tr-TR" w:eastAsia="en-US" w:bidi="ar-SA"/>
              </w:rPr>
              <w:t>İş Ortağı</w:t>
            </w:r>
          </w:p>
        </w:tc>
        <w:tc>
          <w:tcPr>
            <w:tcW w:w="3687" w:type="dxa"/>
            <w:tcBorders/>
            <w:vAlign w:val="center"/>
          </w:tcPr>
          <w:p>
            <w:pPr>
              <w:pStyle w:val="Default"/>
              <w:widowControl/>
              <w:suppressAutoHyphens w:val="true"/>
              <w:spacing w:before="0" w:after="0"/>
              <w:jc w:val="left"/>
              <w:rPr>
                <w:rFonts w:eastAsia="Calibri"/>
                <w:kern w:val="0"/>
                <w:lang w:val="tr-TR" w:eastAsia="en-US" w:bidi="ar-SA"/>
              </w:rPr>
            </w:pPr>
            <w:r>
              <w:rPr>
                <w:rFonts w:eastAsia="Calibri" w:cs="Calibri"/>
                <w:kern w:val="0"/>
                <w:sz w:val="24"/>
                <w:szCs w:val="24"/>
                <w:lang w:val="tr-TR" w:eastAsia="en-US" w:bidi="ar-SA"/>
              </w:rPr>
              <w:t>Seyran Koltuk’u</w:t>
            </w:r>
            <w:r>
              <w:rPr>
                <w:rFonts w:eastAsia="Calibri"/>
                <w:kern w:val="0"/>
                <w:lang w:val="tr-TR" w:eastAsia="en-US" w:bidi="ar-SA"/>
              </w:rPr>
              <w:t>n ticari faaliyetlerini yürütürken muhtelif projeler yürütmek, hizmet almak gibi amaçlarla iş ortaklığı kurduğu tarafları tanımlamaktadır.</w:t>
            </w:r>
          </w:p>
        </w:tc>
        <w:tc>
          <w:tcPr>
            <w:tcW w:w="3970" w:type="dxa"/>
            <w:tcBorders/>
            <w:vAlign w:val="center"/>
          </w:tcPr>
          <w:p>
            <w:pPr>
              <w:pStyle w:val="Default"/>
              <w:widowControl/>
              <w:suppressAutoHyphens w:val="true"/>
              <w:spacing w:before="0" w:after="240"/>
              <w:jc w:val="left"/>
              <w:rPr>
                <w:rFonts w:eastAsia="Calibri"/>
                <w:kern w:val="0"/>
                <w:lang w:val="tr-TR" w:eastAsia="en-US" w:bidi="ar-SA"/>
              </w:rPr>
            </w:pPr>
            <w:r>
              <w:rPr>
                <w:rFonts w:eastAsia="Calibri"/>
                <w:kern w:val="0"/>
                <w:lang w:val="tr-TR" w:eastAsia="en-US" w:bidi="ar-SA"/>
              </w:rPr>
              <w:t>İş ortaklığının kurulma amaçlarının yerine getirilmesini temin etmek amacıyla sınırlı olarak</w:t>
            </w:r>
          </w:p>
        </w:tc>
      </w:tr>
      <w:tr>
        <w:trPr>
          <w:trHeight w:val="2541" w:hRule="atLeast"/>
        </w:trPr>
        <w:tc>
          <w:tcPr>
            <w:tcW w:w="2691" w:type="dxa"/>
            <w:tcBorders/>
            <w:vAlign w:val="center"/>
          </w:tcPr>
          <w:p>
            <w:pPr>
              <w:pStyle w:val="Default"/>
              <w:widowControl/>
              <w:suppressAutoHyphens w:val="true"/>
              <w:spacing w:before="0" w:after="240"/>
              <w:jc w:val="left"/>
              <w:rPr>
                <w:b/>
              </w:rPr>
            </w:pPr>
            <w:r>
              <w:rPr>
                <w:rFonts w:eastAsia="Calibri"/>
                <w:b/>
                <w:kern w:val="0"/>
                <w:lang w:val="tr-TR" w:eastAsia="en-US" w:bidi="ar-SA"/>
              </w:rPr>
              <w:t>Tedarikçi</w:t>
            </w:r>
          </w:p>
        </w:tc>
        <w:tc>
          <w:tcPr>
            <w:tcW w:w="3687" w:type="dxa"/>
            <w:tcBorders/>
            <w:vAlign w:val="center"/>
          </w:tcPr>
          <w:p>
            <w:pPr>
              <w:pStyle w:val="Default"/>
              <w:widowControl/>
              <w:suppressAutoHyphens w:val="true"/>
              <w:spacing w:before="0" w:after="0"/>
              <w:jc w:val="left"/>
              <w:rPr>
                <w:rFonts w:eastAsia="Calibri"/>
                <w:kern w:val="0"/>
                <w:lang w:val="tr-TR" w:eastAsia="en-US" w:bidi="ar-SA"/>
              </w:rPr>
            </w:pPr>
            <w:r>
              <w:rPr>
                <w:rFonts w:eastAsia="Calibri" w:cs="Calibri"/>
                <w:kern w:val="0"/>
                <w:sz w:val="24"/>
                <w:szCs w:val="24"/>
                <w:lang w:val="tr-TR" w:eastAsia="en-US" w:bidi="ar-SA"/>
              </w:rPr>
              <w:t>Seyran Koltuk ‘u</w:t>
            </w:r>
            <w:r>
              <w:rPr>
                <w:rFonts w:eastAsia="Calibri"/>
                <w:kern w:val="0"/>
                <w:lang w:val="tr-TR" w:eastAsia="en-US" w:bidi="ar-SA"/>
              </w:rPr>
              <w:t xml:space="preserve">n ticari faaliyetlerini yürütürken </w:t>
            </w:r>
            <w:r>
              <w:rPr>
                <w:rFonts w:eastAsia="Calibri" w:cs="Calibri"/>
                <w:kern w:val="0"/>
                <w:sz w:val="24"/>
                <w:szCs w:val="24"/>
                <w:lang w:val="tr-TR" w:eastAsia="en-US" w:bidi="ar-SA"/>
              </w:rPr>
              <w:t>Seyran Koltuk ‘u</w:t>
            </w:r>
            <w:r>
              <w:rPr>
                <w:rFonts w:eastAsia="Calibri"/>
                <w:kern w:val="0"/>
                <w:lang w:val="tr-TR" w:eastAsia="en-US" w:bidi="ar-SA"/>
              </w:rPr>
              <w:t xml:space="preserve">n emir ve talimatlarına uygun olarak sözleşme temelli olarak </w:t>
            </w:r>
            <w:r>
              <w:rPr>
                <w:rFonts w:eastAsia="Calibri" w:cs="Calibri"/>
                <w:kern w:val="0"/>
                <w:sz w:val="24"/>
                <w:szCs w:val="24"/>
                <w:lang w:val="tr-TR" w:eastAsia="en-US" w:bidi="ar-SA"/>
              </w:rPr>
              <w:t>Seyran Koltuk’a</w:t>
            </w:r>
            <w:r>
              <w:rPr>
                <w:rFonts w:eastAsia="Calibri"/>
                <w:kern w:val="0"/>
                <w:lang w:val="tr-TR" w:eastAsia="en-US" w:bidi="ar-SA"/>
              </w:rPr>
              <w:t xml:space="preserve"> hizmet sunan tarafları tanımlamaktadır.</w:t>
            </w:r>
          </w:p>
        </w:tc>
        <w:tc>
          <w:tcPr>
            <w:tcW w:w="3970" w:type="dxa"/>
            <w:tcBorders/>
            <w:vAlign w:val="center"/>
          </w:tcPr>
          <w:p>
            <w:pPr>
              <w:pStyle w:val="Default"/>
              <w:widowControl/>
              <w:suppressAutoHyphens w:val="true"/>
              <w:spacing w:before="0" w:after="0"/>
              <w:jc w:val="left"/>
              <w:rPr>
                <w:rFonts w:eastAsia="Calibri"/>
                <w:kern w:val="0"/>
                <w:lang w:val="tr-TR" w:eastAsia="en-US" w:bidi="ar-SA"/>
              </w:rPr>
            </w:pPr>
            <w:r>
              <w:rPr>
                <w:rFonts w:eastAsia="Calibri" w:cs="Calibri"/>
                <w:kern w:val="0"/>
                <w:sz w:val="24"/>
                <w:szCs w:val="24"/>
                <w:lang w:val="tr-TR" w:eastAsia="en-US" w:bidi="ar-SA"/>
              </w:rPr>
              <w:t>Seyran Koltuk ‘u</w:t>
            </w:r>
            <w:r>
              <w:rPr>
                <w:rFonts w:eastAsia="Calibri"/>
                <w:kern w:val="0"/>
                <w:lang w:val="tr-TR" w:eastAsia="en-US" w:bidi="ar-SA"/>
              </w:rPr>
              <w:t xml:space="preserve">n tedarikçiden dış kaynaklı olarak temin ettiği ve </w:t>
            </w:r>
            <w:r>
              <w:rPr>
                <w:rFonts w:eastAsia="Calibri" w:cs="Calibri"/>
                <w:kern w:val="0"/>
                <w:sz w:val="24"/>
                <w:szCs w:val="24"/>
                <w:lang w:val="tr-TR" w:eastAsia="en-US" w:bidi="ar-SA"/>
              </w:rPr>
              <w:t>Seyran Koltuk ‘u</w:t>
            </w:r>
            <w:r>
              <w:rPr>
                <w:rFonts w:eastAsia="Calibri"/>
                <w:kern w:val="0"/>
                <w:lang w:val="tr-TR" w:eastAsia="en-US" w:bidi="ar-SA"/>
              </w:rPr>
              <w:t xml:space="preserve">n ticari faaliyetlerini yerine getirmek için gerekli hizmetlerin </w:t>
            </w:r>
            <w:r>
              <w:rPr>
                <w:rFonts w:eastAsia="Calibri" w:cs="Calibri"/>
                <w:kern w:val="0"/>
                <w:sz w:val="24"/>
                <w:szCs w:val="24"/>
                <w:lang w:val="tr-TR" w:eastAsia="en-US" w:bidi="ar-SA"/>
              </w:rPr>
              <w:t>Seyran Koltuk’a</w:t>
            </w:r>
            <w:r>
              <w:rPr>
                <w:rFonts w:eastAsia="Calibri"/>
                <w:kern w:val="0"/>
                <w:lang w:val="tr-TR" w:eastAsia="en-US" w:bidi="ar-SA"/>
              </w:rPr>
              <w:t xml:space="preserve"> sunulmasını sağlamak amacıyla sınırlı olarak.</w:t>
            </w:r>
          </w:p>
        </w:tc>
      </w:tr>
      <w:tr>
        <w:trPr>
          <w:trHeight w:val="1264" w:hRule="atLeast"/>
        </w:trPr>
        <w:tc>
          <w:tcPr>
            <w:tcW w:w="2691" w:type="dxa"/>
            <w:tcBorders/>
            <w:vAlign w:val="center"/>
          </w:tcPr>
          <w:p>
            <w:pPr>
              <w:pStyle w:val="Default"/>
              <w:widowControl/>
              <w:suppressAutoHyphens w:val="true"/>
              <w:spacing w:before="0" w:after="240"/>
              <w:jc w:val="left"/>
              <w:rPr>
                <w:b/>
              </w:rPr>
            </w:pPr>
            <w:r>
              <w:rPr>
                <w:rFonts w:eastAsia="Calibri"/>
                <w:b/>
                <w:kern w:val="0"/>
                <w:lang w:val="tr-TR" w:eastAsia="en-US" w:bidi="ar-SA"/>
              </w:rPr>
              <w:t>Kanunen Yetkili Kamu Kurum ve Kuruluşları</w:t>
            </w:r>
          </w:p>
        </w:tc>
        <w:tc>
          <w:tcPr>
            <w:tcW w:w="3687" w:type="dxa"/>
            <w:tcBorders/>
            <w:vAlign w:val="center"/>
          </w:tcPr>
          <w:p>
            <w:pPr>
              <w:pStyle w:val="Default"/>
              <w:widowControl/>
              <w:suppressAutoHyphens w:val="true"/>
              <w:spacing w:before="0" w:after="0"/>
              <w:jc w:val="left"/>
              <w:rPr>
                <w:rFonts w:eastAsia="Calibri"/>
                <w:kern w:val="0"/>
                <w:lang w:val="tr-TR" w:eastAsia="en-US" w:bidi="ar-SA"/>
              </w:rPr>
            </w:pPr>
            <w:r>
              <w:rPr>
                <w:rFonts w:eastAsia="Calibri"/>
                <w:kern w:val="0"/>
                <w:lang w:val="tr-TR" w:eastAsia="en-US" w:bidi="ar-SA"/>
              </w:rPr>
              <w:t xml:space="preserve">İlgili mevzuat hükümlerine göre </w:t>
            </w:r>
            <w:r>
              <w:rPr>
                <w:rFonts w:eastAsia="Calibri" w:cs="Calibri"/>
                <w:kern w:val="0"/>
                <w:sz w:val="24"/>
                <w:szCs w:val="24"/>
                <w:lang w:val="tr-TR" w:eastAsia="en-US" w:bidi="ar-SA"/>
              </w:rPr>
              <w:t>Seyran Koltuk’tan</w:t>
            </w:r>
            <w:r>
              <w:rPr>
                <w:rFonts w:eastAsia="Calibri"/>
                <w:kern w:val="0"/>
                <w:lang w:val="tr-TR" w:eastAsia="en-US" w:bidi="ar-SA"/>
              </w:rPr>
              <w:t xml:space="preserve"> bilgi ve belge almaya yetkili kamu kurum ve kuruluşları</w:t>
            </w:r>
          </w:p>
        </w:tc>
        <w:tc>
          <w:tcPr>
            <w:tcW w:w="3970" w:type="dxa"/>
            <w:tcBorders/>
            <w:vAlign w:val="center"/>
          </w:tcPr>
          <w:p>
            <w:pPr>
              <w:pStyle w:val="Default"/>
              <w:widowControl/>
              <w:suppressAutoHyphens w:val="true"/>
              <w:spacing w:before="0" w:after="0"/>
              <w:jc w:val="left"/>
              <w:rPr>
                <w:rFonts w:eastAsia="Calibri"/>
                <w:kern w:val="0"/>
                <w:lang w:val="tr-TR" w:eastAsia="en-US" w:bidi="ar-SA"/>
              </w:rPr>
            </w:pPr>
            <w:r>
              <w:rPr>
                <w:rFonts w:eastAsia="Calibri"/>
                <w:kern w:val="0"/>
                <w:lang w:val="tr-TR" w:eastAsia="en-US" w:bidi="ar-SA"/>
              </w:rPr>
              <w:t>İlgili kamu kurum ve kuruluşlarının hukuki yetkisi dahilinde talep ettiği amaçla sınırlı olarak</w:t>
            </w:r>
          </w:p>
        </w:tc>
      </w:tr>
      <w:tr>
        <w:trPr>
          <w:trHeight w:val="1422" w:hRule="atLeast"/>
        </w:trPr>
        <w:tc>
          <w:tcPr>
            <w:tcW w:w="2691" w:type="dxa"/>
            <w:tcBorders/>
            <w:vAlign w:val="center"/>
          </w:tcPr>
          <w:p>
            <w:pPr>
              <w:pStyle w:val="Default"/>
              <w:widowControl/>
              <w:suppressAutoHyphens w:val="true"/>
              <w:spacing w:before="0" w:after="240"/>
              <w:jc w:val="left"/>
              <w:rPr>
                <w:b/>
              </w:rPr>
            </w:pPr>
            <w:r>
              <w:rPr>
                <w:rFonts w:eastAsia="Calibri"/>
                <w:b/>
                <w:kern w:val="0"/>
                <w:lang w:val="tr-TR" w:eastAsia="en-US" w:bidi="ar-SA"/>
              </w:rPr>
              <w:t>Kanunen Yetkili Özel Hukuk Kişileri</w:t>
            </w:r>
          </w:p>
        </w:tc>
        <w:tc>
          <w:tcPr>
            <w:tcW w:w="3687" w:type="dxa"/>
            <w:tcBorders/>
            <w:vAlign w:val="center"/>
          </w:tcPr>
          <w:p>
            <w:pPr>
              <w:pStyle w:val="Default"/>
              <w:widowControl/>
              <w:suppressAutoHyphens w:val="true"/>
              <w:spacing w:before="0" w:after="0"/>
              <w:jc w:val="left"/>
              <w:rPr>
                <w:rFonts w:eastAsia="Calibri"/>
                <w:kern w:val="0"/>
                <w:lang w:val="tr-TR" w:eastAsia="en-US" w:bidi="ar-SA"/>
              </w:rPr>
            </w:pPr>
            <w:r>
              <w:rPr>
                <w:rFonts w:eastAsia="Calibri"/>
                <w:kern w:val="0"/>
                <w:lang w:val="tr-TR" w:eastAsia="en-US" w:bidi="ar-SA"/>
              </w:rPr>
              <w:t xml:space="preserve">İlgili mevzuat hükümlerine göre </w:t>
            </w:r>
            <w:r>
              <w:rPr>
                <w:rFonts w:eastAsia="Calibri" w:cs="Calibri"/>
                <w:kern w:val="0"/>
                <w:sz w:val="24"/>
                <w:szCs w:val="24"/>
                <w:lang w:val="tr-TR" w:eastAsia="en-US" w:bidi="ar-SA"/>
              </w:rPr>
              <w:t>Seyran Koltuk’tan</w:t>
            </w:r>
            <w:r>
              <w:rPr>
                <w:rFonts w:eastAsia="Calibri"/>
                <w:kern w:val="0"/>
                <w:lang w:val="tr-TR" w:eastAsia="en-US" w:bidi="ar-SA"/>
              </w:rPr>
              <w:t xml:space="preserve"> bilgi ve belge almaya yetkili özel hukuk kişileri</w:t>
            </w:r>
          </w:p>
        </w:tc>
        <w:tc>
          <w:tcPr>
            <w:tcW w:w="3970" w:type="dxa"/>
            <w:tcBorders/>
            <w:vAlign w:val="center"/>
          </w:tcPr>
          <w:p>
            <w:pPr>
              <w:pStyle w:val="Default"/>
              <w:widowControl/>
              <w:suppressAutoHyphens w:val="true"/>
              <w:spacing w:before="0" w:after="0"/>
              <w:jc w:val="left"/>
              <w:rPr>
                <w:rFonts w:eastAsia="Calibri"/>
                <w:kern w:val="0"/>
                <w:lang w:val="tr-TR" w:eastAsia="en-US" w:bidi="ar-SA"/>
              </w:rPr>
            </w:pPr>
            <w:r>
              <w:rPr>
                <w:rFonts w:eastAsia="Calibri"/>
                <w:kern w:val="0"/>
                <w:lang w:val="tr-TR" w:eastAsia="en-US" w:bidi="ar-SA"/>
              </w:rPr>
              <w:t>İlgili özel hukuk kişilerinin hukuki yetkisi dahilinde talep ettiği amaçla sınırlı olarak</w:t>
            </w:r>
          </w:p>
        </w:tc>
      </w:tr>
    </w:tbl>
    <w:p>
      <w:pPr>
        <w:pStyle w:val="Default"/>
        <w:spacing w:before="0" w:after="240"/>
        <w:jc w:val="both"/>
        <w:rPr>
          <w:rFonts w:ascii="Calibri" w:hAnsi="Calibri" w:cs="Calibri"/>
          <w:color w:val="auto"/>
          <w:sz w:val="22"/>
          <w:szCs w:val="22"/>
        </w:rPr>
      </w:pPr>
      <w:r>
        <w:rPr>
          <w:rFonts w:cs="Calibri" w:ascii="Calibri" w:hAnsi="Calibri"/>
          <w:color w:val="auto"/>
          <w:sz w:val="22"/>
          <w:szCs w:val="22"/>
        </w:rPr>
      </w:r>
    </w:p>
    <w:p>
      <w:pPr>
        <w:pStyle w:val="Title"/>
        <w:rPr>
          <w:rFonts w:ascii="Cambria" w:hAnsi="Cambria"/>
          <w:b/>
          <w:color w:themeColor="text1" w:val="000000"/>
          <w:sz w:val="24"/>
          <w:szCs w:val="24"/>
        </w:rPr>
      </w:pPr>
      <w:r>
        <w:rPr>
          <w:b/>
          <w:color w:themeColor="text1" w:val="000000"/>
          <w:sz w:val="24"/>
          <w:szCs w:val="24"/>
        </w:rPr>
        <w:t xml:space="preserve">7. </w:t>
      </w:r>
      <w:r>
        <w:rPr>
          <w:rFonts w:cs="Calibri"/>
          <w:b/>
          <w:color w:themeColor="text1" w:val="000000"/>
          <w:sz w:val="24"/>
          <w:szCs w:val="24"/>
        </w:rPr>
        <w:t>SEYRAN KOLTUK</w:t>
      </w:r>
      <w:r>
        <w:rPr>
          <w:b/>
          <w:color w:themeColor="text1" w:val="000000"/>
          <w:sz w:val="24"/>
          <w:szCs w:val="24"/>
        </w:rPr>
        <w:t xml:space="preserve"> TARAFINDAN İŞLENEN KİŞİSEL VERİLERİN KATEGORİZASYONU VE İŞLENME AMAÇLARI </w:t>
      </w:r>
    </w:p>
    <w:p>
      <w:pPr>
        <w:pStyle w:val="Default"/>
        <w:jc w:val="both"/>
        <w:rPr>
          <w:rFonts w:cs="Calibri"/>
          <w:color w:val="auto"/>
        </w:rPr>
      </w:pPr>
      <w:r>
        <w:rPr>
          <w:rFonts w:cs="Calibri"/>
          <w:color w:val="auto"/>
          <w:sz w:val="24"/>
          <w:szCs w:val="24"/>
        </w:rPr>
        <w:t>Seyran Koltuk</w:t>
      </w:r>
      <w:r>
        <w:rPr>
          <w:rFonts w:cs="Calibri"/>
          <w:color w:val="auto"/>
        </w:rPr>
        <w:t xml:space="preserve"> nezdinde, Kanun’un 10. maddesi ve ikincil mevzuat uyarınca ilgili kişiler bilgilendirilerek, </w:t>
      </w:r>
      <w:r>
        <w:rPr>
          <w:rFonts w:cs="Calibri"/>
          <w:color w:val="auto"/>
          <w:sz w:val="24"/>
          <w:szCs w:val="24"/>
        </w:rPr>
        <w:t>Seyran Koltuk’un</w:t>
      </w:r>
      <w:r>
        <w:rPr>
          <w:rFonts w:cs="Calibri"/>
          <w:color w:val="auto"/>
        </w:rPr>
        <w:t xml:space="preserve"> kişisel veri işleme amaçları doğrultusunda, Kanun’un 5. ve 6. maddesinde belirtilen kişisel veri işleme şartlarından en az birine dayalı ve sınırlı olarak, başta kişisel verilerin işlenmesine ilişkin Kanun’un 4. maddesinde belirtilen ilkeler olmak üzere Kanun’da belirtilen genel ilkelere uygun bir şekilde kişisel veriler işlenmektedir. İşbu Politika ’da belirtilen amaçlar ve şartlar çerçevesinde, işlenen kişisel veri kategorilerine ve kategoriler hakkında detaylı bilgiler şu şekildedir: </w:t>
      </w:r>
    </w:p>
    <w:p>
      <w:pPr>
        <w:pStyle w:val="Default"/>
        <w:jc w:val="both"/>
        <w:rPr>
          <w:rFonts w:ascii="Calibri" w:hAnsi="Calibri" w:cs="Calibri"/>
          <w:color w:val="auto"/>
          <w:sz w:val="22"/>
          <w:szCs w:val="22"/>
        </w:rPr>
      </w:pPr>
      <w:r>
        <w:rPr>
          <w:rFonts w:cs="Calibri" w:ascii="Calibri" w:hAnsi="Calibri"/>
          <w:color w:val="auto"/>
          <w:sz w:val="22"/>
          <w:szCs w:val="22"/>
        </w:rPr>
      </w:r>
    </w:p>
    <w:p>
      <w:pPr>
        <w:pStyle w:val="Default"/>
        <w:jc w:val="both"/>
        <w:rPr>
          <w:rFonts w:ascii="Calibri" w:hAnsi="Calibri" w:cs="Calibri"/>
          <w:color w:val="auto"/>
          <w:sz w:val="22"/>
          <w:szCs w:val="22"/>
        </w:rPr>
      </w:pPr>
      <w:r>
        <w:rPr>
          <w:rFonts w:cs="Calibri" w:ascii="Calibri" w:hAnsi="Calibri"/>
          <w:color w:val="auto"/>
          <w:sz w:val="22"/>
          <w:szCs w:val="22"/>
        </w:rPr>
      </w:r>
    </w:p>
    <w:p>
      <w:pPr>
        <w:pStyle w:val="Default"/>
        <w:jc w:val="both"/>
        <w:rPr>
          <w:rFonts w:ascii="Calibri" w:hAnsi="Calibri" w:cs="Calibri"/>
          <w:color w:val="auto"/>
          <w:sz w:val="22"/>
          <w:szCs w:val="22"/>
        </w:rPr>
      </w:pPr>
      <w:r>
        <w:rPr>
          <w:rFonts w:cs="Calibri" w:ascii="Calibri" w:hAnsi="Calibri"/>
          <w:color w:val="auto"/>
          <w:sz w:val="22"/>
          <w:szCs w:val="22"/>
        </w:rPr>
      </w:r>
    </w:p>
    <w:p>
      <w:pPr>
        <w:pStyle w:val="Default"/>
        <w:jc w:val="both"/>
        <w:rPr>
          <w:rFonts w:ascii="Calibri" w:hAnsi="Calibri" w:cs="Calibri"/>
          <w:color w:val="auto"/>
          <w:sz w:val="22"/>
          <w:szCs w:val="22"/>
        </w:rPr>
      </w:pPr>
      <w:r>
        <w:rPr>
          <w:rFonts w:cs="Calibri" w:ascii="Calibri" w:hAnsi="Calibri"/>
          <w:color w:val="auto"/>
          <w:sz w:val="22"/>
          <w:szCs w:val="22"/>
        </w:rPr>
        <w:t xml:space="preserve"> </w:t>
      </w:r>
    </w:p>
    <w:tbl>
      <w:tblPr>
        <w:tblStyle w:val="TabloKlavuzu"/>
        <w:tblW w:w="1083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659"/>
        <w:gridCol w:w="8174"/>
      </w:tblGrid>
      <w:tr>
        <w:trPr>
          <w:trHeight w:val="749" w:hRule="atLeast"/>
        </w:trPr>
        <w:tc>
          <w:tcPr>
            <w:tcW w:w="2659" w:type="dxa"/>
            <w:tcBorders/>
            <w:vAlign w:val="center"/>
          </w:tcPr>
          <w:p>
            <w:pPr>
              <w:pStyle w:val="Default"/>
              <w:widowControl/>
              <w:suppressAutoHyphens w:val="true"/>
              <w:spacing w:before="0" w:after="120"/>
              <w:jc w:val="center"/>
              <w:rPr>
                <w:rFonts w:ascii="Calibri" w:hAnsi="Calibri" w:cs="Calibri"/>
                <w:b/>
                <w:color w:val="auto"/>
                <w:sz w:val="22"/>
                <w:szCs w:val="22"/>
              </w:rPr>
            </w:pPr>
            <w:r>
              <w:rPr>
                <w:rFonts w:eastAsia="Calibri"/>
                <w:b/>
                <w:kern w:val="0"/>
                <w:lang w:val="tr-TR" w:eastAsia="en-US" w:bidi="ar-SA"/>
              </w:rPr>
              <w:t>KİŞİSEL VERİ KATEGORİZASYONU</w:t>
            </w:r>
          </w:p>
        </w:tc>
        <w:tc>
          <w:tcPr>
            <w:tcW w:w="8174" w:type="dxa"/>
            <w:tcBorders/>
            <w:vAlign w:val="center"/>
          </w:tcPr>
          <w:p>
            <w:pPr>
              <w:pStyle w:val="Default"/>
              <w:widowControl/>
              <w:suppressAutoHyphens w:val="true"/>
              <w:spacing w:before="0" w:after="0"/>
              <w:jc w:val="center"/>
              <w:rPr>
                <w:rFonts w:ascii="Calibri" w:hAnsi="Calibri" w:cs="Calibri"/>
                <w:b/>
                <w:color w:val="auto"/>
                <w:sz w:val="22"/>
                <w:szCs w:val="22"/>
              </w:rPr>
            </w:pPr>
            <w:r>
              <w:rPr>
                <w:rFonts w:eastAsia="Calibri"/>
                <w:b/>
                <w:kern w:val="0"/>
                <w:lang w:val="tr-TR" w:eastAsia="en-US" w:bidi="ar-SA"/>
              </w:rPr>
              <w:t>KİŞİSEL VERİ KATEGORİZASYONU AÇIKLAMA</w:t>
            </w:r>
          </w:p>
        </w:tc>
      </w:tr>
      <w:tr>
        <w:trPr>
          <w:trHeight w:val="1257" w:hRule="atLeast"/>
        </w:trPr>
        <w:tc>
          <w:tcPr>
            <w:tcW w:w="2659" w:type="dxa"/>
            <w:tcBorders/>
            <w:vAlign w:val="center"/>
          </w:tcPr>
          <w:p>
            <w:pPr>
              <w:pStyle w:val="Default"/>
              <w:widowControl/>
              <w:suppressAutoHyphens w:val="true"/>
              <w:spacing w:before="0" w:after="0"/>
              <w:jc w:val="left"/>
              <w:rPr>
                <w:rFonts w:ascii="Calibri" w:hAnsi="Calibri" w:cs="Calibri"/>
                <w:b/>
                <w:color w:val="auto"/>
                <w:sz w:val="22"/>
                <w:szCs w:val="22"/>
              </w:rPr>
            </w:pPr>
            <w:r>
              <w:rPr>
                <w:rFonts w:eastAsia="Calibri"/>
                <w:b/>
                <w:kern w:val="0"/>
                <w:lang w:val="tr-TR" w:eastAsia="en-US" w:bidi="ar-SA"/>
              </w:rPr>
              <w:t>Kimlik Bilgisi</w:t>
            </w:r>
          </w:p>
        </w:tc>
        <w:tc>
          <w:tcPr>
            <w:tcW w:w="8174" w:type="dxa"/>
            <w:tcBorders/>
            <w:vAlign w:val="center"/>
          </w:tcPr>
          <w:p>
            <w:pPr>
              <w:pStyle w:val="Default"/>
              <w:widowControl/>
              <w:suppressAutoHyphens w:val="true"/>
              <w:spacing w:before="0" w:after="0"/>
              <w:jc w:val="left"/>
              <w:rPr>
                <w:rFonts w:ascii="Calibri" w:hAnsi="Calibri" w:cs="Calibri"/>
                <w:color w:val="auto"/>
                <w:sz w:val="22"/>
                <w:szCs w:val="22"/>
              </w:rPr>
            </w:pPr>
            <w:r>
              <w:rPr>
                <w:rFonts w:eastAsia="Calibri"/>
                <w:kern w:val="0"/>
                <w:sz w:val="22"/>
                <w:szCs w:val="22"/>
                <w:lang w:val="tr-TR" w:eastAsia="en-US" w:bidi="ar-SA"/>
              </w:rPr>
              <w:t>Kişinin kimliğine dair bilgilerin bulunduğu verilerdir; ad-soyad, T.C. kimlik numarası, uyruk bilgisi, doğum yeri, doğum tarihi, imza, cinsiyet, işyeri bilgisi, sicil no., vergi numarası, unvan, biyografi vb. bilgiler ile ehliyet, mesleki kimlik, nüfus cüzdanı ve pasaport gibi belgeler</w:t>
            </w:r>
          </w:p>
        </w:tc>
      </w:tr>
      <w:tr>
        <w:trPr>
          <w:trHeight w:val="565" w:hRule="atLeast"/>
        </w:trPr>
        <w:tc>
          <w:tcPr>
            <w:tcW w:w="2659" w:type="dxa"/>
            <w:tcBorders/>
            <w:vAlign w:val="center"/>
          </w:tcPr>
          <w:p>
            <w:pPr>
              <w:pStyle w:val="Default"/>
              <w:widowControl/>
              <w:suppressAutoHyphens w:val="true"/>
              <w:spacing w:before="0" w:after="0"/>
              <w:jc w:val="left"/>
              <w:rPr>
                <w:rFonts w:ascii="Calibri" w:hAnsi="Calibri" w:cs="Calibri"/>
                <w:b/>
                <w:color w:val="auto"/>
                <w:sz w:val="22"/>
                <w:szCs w:val="22"/>
              </w:rPr>
            </w:pPr>
            <w:r>
              <w:rPr>
                <w:rFonts w:eastAsia="Calibri"/>
                <w:b/>
                <w:kern w:val="0"/>
                <w:lang w:val="tr-TR" w:eastAsia="en-US" w:bidi="ar-SA"/>
              </w:rPr>
              <w:t>İletişim Bilgisi</w:t>
            </w:r>
          </w:p>
        </w:tc>
        <w:tc>
          <w:tcPr>
            <w:tcW w:w="8174" w:type="dxa"/>
            <w:tcBorders/>
            <w:vAlign w:val="center"/>
          </w:tcPr>
          <w:p>
            <w:pPr>
              <w:pStyle w:val="Default"/>
              <w:widowControl/>
              <w:suppressAutoHyphens w:val="true"/>
              <w:spacing w:before="0" w:after="0"/>
              <w:jc w:val="left"/>
              <w:rPr>
                <w:rFonts w:ascii="Calibri" w:hAnsi="Calibri" w:cs="Calibri"/>
                <w:color w:val="auto"/>
                <w:sz w:val="22"/>
                <w:szCs w:val="22"/>
              </w:rPr>
            </w:pPr>
            <w:r>
              <w:rPr>
                <w:rFonts w:eastAsia="Calibri"/>
                <w:kern w:val="0"/>
                <w:sz w:val="22"/>
                <w:szCs w:val="22"/>
                <w:lang w:val="tr-TR" w:eastAsia="en-US" w:bidi="ar-SA"/>
              </w:rPr>
              <w:t>Telefon numarası, adres, e-mail adresi, faks numarası vb. bilgiler</w:t>
            </w:r>
          </w:p>
        </w:tc>
      </w:tr>
      <w:tr>
        <w:trPr>
          <w:trHeight w:val="971" w:hRule="atLeast"/>
        </w:trPr>
        <w:tc>
          <w:tcPr>
            <w:tcW w:w="2659" w:type="dxa"/>
            <w:tcBorders/>
            <w:vAlign w:val="center"/>
          </w:tcPr>
          <w:p>
            <w:pPr>
              <w:pStyle w:val="Default"/>
              <w:widowControl/>
              <w:suppressAutoHyphens w:val="true"/>
              <w:spacing w:before="0" w:after="0"/>
              <w:jc w:val="left"/>
              <w:rPr>
                <w:rFonts w:ascii="Calibri" w:hAnsi="Calibri" w:cs="Calibri"/>
                <w:b/>
                <w:color w:val="auto"/>
                <w:sz w:val="22"/>
                <w:szCs w:val="22"/>
              </w:rPr>
            </w:pPr>
            <w:r>
              <w:rPr>
                <w:rFonts w:eastAsia="Calibri"/>
                <w:b/>
                <w:kern w:val="0"/>
                <w:lang w:val="tr-TR" w:eastAsia="en-US" w:bidi="ar-SA"/>
              </w:rPr>
              <w:t>İşlem Güvenliği Bilgisi</w:t>
            </w:r>
          </w:p>
        </w:tc>
        <w:tc>
          <w:tcPr>
            <w:tcW w:w="8174" w:type="dxa"/>
            <w:tcBorders/>
            <w:vAlign w:val="center"/>
          </w:tcPr>
          <w:p>
            <w:pPr>
              <w:pStyle w:val="Default"/>
              <w:widowControl/>
              <w:suppressAutoHyphens w:val="true"/>
              <w:spacing w:before="0" w:after="0"/>
              <w:jc w:val="left"/>
              <w:rPr>
                <w:rFonts w:ascii="Calibri" w:hAnsi="Calibri" w:cs="Calibri"/>
                <w:color w:val="auto"/>
                <w:sz w:val="22"/>
                <w:szCs w:val="22"/>
              </w:rPr>
            </w:pPr>
            <w:r>
              <w:rPr>
                <w:rFonts w:eastAsia="Calibri"/>
                <w:kern w:val="0"/>
                <w:sz w:val="22"/>
                <w:szCs w:val="22"/>
                <w:lang w:val="tr-TR" w:eastAsia="en-US" w:bidi="ar-SA"/>
              </w:rPr>
              <w:t>Faaliyetlerimizin yürütülmesi sırasında teknik, idari, hukuki ve ticari güvenliğimizi sağlamamız için işlenen kişisel verileriniz (örneğin log kayıtları, IP bilgisi, kimlik doğrulama bilgileri)</w:t>
            </w:r>
          </w:p>
        </w:tc>
      </w:tr>
      <w:tr>
        <w:trPr>
          <w:trHeight w:val="1474" w:hRule="atLeast"/>
        </w:trPr>
        <w:tc>
          <w:tcPr>
            <w:tcW w:w="2659" w:type="dxa"/>
            <w:tcBorders/>
            <w:vAlign w:val="center"/>
          </w:tcPr>
          <w:p>
            <w:pPr>
              <w:pStyle w:val="Default"/>
              <w:widowControl/>
              <w:suppressAutoHyphens w:val="true"/>
              <w:spacing w:before="0" w:after="0"/>
              <w:jc w:val="left"/>
              <w:rPr>
                <w:rFonts w:ascii="Calibri" w:hAnsi="Calibri" w:cs="Calibri"/>
                <w:b/>
                <w:color w:val="auto"/>
                <w:sz w:val="22"/>
                <w:szCs w:val="22"/>
              </w:rPr>
            </w:pPr>
            <w:r>
              <w:rPr>
                <w:rFonts w:eastAsia="Calibri"/>
                <w:b/>
                <w:kern w:val="0"/>
                <w:lang w:val="tr-TR" w:eastAsia="en-US" w:bidi="ar-SA"/>
              </w:rPr>
              <w:t>İşlem Bilgisi</w:t>
            </w:r>
          </w:p>
        </w:tc>
        <w:tc>
          <w:tcPr>
            <w:tcW w:w="8174" w:type="dxa"/>
            <w:tcBorders/>
            <w:vAlign w:val="center"/>
          </w:tcPr>
          <w:p>
            <w:pPr>
              <w:pStyle w:val="Default"/>
              <w:widowControl/>
              <w:suppressAutoHyphens w:val="true"/>
              <w:spacing w:before="0" w:after="0"/>
              <w:jc w:val="left"/>
              <w:rPr>
                <w:rFonts w:ascii="Calibri" w:hAnsi="Calibri" w:cs="Calibri"/>
                <w:color w:val="auto"/>
                <w:sz w:val="22"/>
                <w:szCs w:val="22"/>
              </w:rPr>
            </w:pPr>
            <w:r>
              <w:rPr>
                <w:rFonts w:eastAsia="Calibri" w:cs="Calibri"/>
                <w:kern w:val="0"/>
                <w:sz w:val="24"/>
                <w:szCs w:val="24"/>
                <w:lang w:val="tr-TR" w:eastAsia="en-US" w:bidi="ar-SA"/>
              </w:rPr>
              <w:t>Seyran Koltuk</w:t>
            </w:r>
            <w:r>
              <w:rPr>
                <w:rFonts w:eastAsia="Calibri"/>
                <w:kern w:val="0"/>
                <w:sz w:val="22"/>
                <w:szCs w:val="22"/>
                <w:lang w:val="tr-TR" w:eastAsia="en-US" w:bidi="ar-SA"/>
              </w:rPr>
              <w:t xml:space="preserve"> tarafından yürütülen faaliyetler çerçevesinde, sunulan hizmetlerle ilgili veya </w:t>
            </w:r>
            <w:r>
              <w:rPr>
                <w:rFonts w:eastAsia="Calibri" w:cs="Calibri"/>
                <w:kern w:val="0"/>
                <w:sz w:val="24"/>
                <w:szCs w:val="24"/>
                <w:lang w:val="tr-TR" w:eastAsia="en-US" w:bidi="ar-SA"/>
              </w:rPr>
              <w:t>Seyran Koltuk ‘u</w:t>
            </w:r>
            <w:r>
              <w:rPr>
                <w:rFonts w:eastAsia="Calibri"/>
                <w:kern w:val="0"/>
                <w:sz w:val="22"/>
                <w:szCs w:val="22"/>
                <w:lang w:val="tr-TR" w:eastAsia="en-US" w:bidi="ar-SA"/>
              </w:rPr>
              <w:t>n ve kişisel veri sahibinin hukuki ve diğer menfaatlerini korumak amacıyla işlenen anket bilgisi, beyan bilgisi, alışveriş bilgisi, üyelik bilgisi, cookie kayıtları gibi veriler</w:t>
            </w:r>
          </w:p>
        </w:tc>
      </w:tr>
      <w:tr>
        <w:trPr>
          <w:trHeight w:val="1577" w:hRule="atLeast"/>
        </w:trPr>
        <w:tc>
          <w:tcPr>
            <w:tcW w:w="2659" w:type="dxa"/>
            <w:tcBorders/>
            <w:vAlign w:val="center"/>
          </w:tcPr>
          <w:p>
            <w:pPr>
              <w:pStyle w:val="Default"/>
              <w:widowControl/>
              <w:suppressAutoHyphens w:val="true"/>
              <w:spacing w:before="0" w:after="0"/>
              <w:jc w:val="left"/>
              <w:rPr>
                <w:rFonts w:ascii="Calibri" w:hAnsi="Calibri" w:cs="Calibri"/>
                <w:b/>
                <w:color w:val="auto"/>
                <w:sz w:val="22"/>
                <w:szCs w:val="22"/>
              </w:rPr>
            </w:pPr>
            <w:r>
              <w:rPr>
                <w:rFonts w:eastAsia="Calibri"/>
                <w:b/>
                <w:kern w:val="0"/>
                <w:lang w:val="tr-TR" w:eastAsia="en-US" w:bidi="ar-SA"/>
              </w:rPr>
              <w:t>Aile Bireyleri ve Yakın Bilgisi</w:t>
            </w:r>
          </w:p>
        </w:tc>
        <w:tc>
          <w:tcPr>
            <w:tcW w:w="8174" w:type="dxa"/>
            <w:tcBorders/>
            <w:vAlign w:val="center"/>
          </w:tcPr>
          <w:p>
            <w:pPr>
              <w:pStyle w:val="Default"/>
              <w:widowControl/>
              <w:suppressAutoHyphens w:val="true"/>
              <w:spacing w:before="0" w:after="0"/>
              <w:jc w:val="left"/>
              <w:rPr>
                <w:rFonts w:ascii="Calibri" w:hAnsi="Calibri" w:cs="Calibri"/>
                <w:color w:val="auto"/>
                <w:sz w:val="22"/>
                <w:szCs w:val="22"/>
              </w:rPr>
            </w:pPr>
            <w:r>
              <w:rPr>
                <w:rFonts w:eastAsia="Calibri" w:cs="Calibri"/>
                <w:kern w:val="0"/>
                <w:sz w:val="24"/>
                <w:szCs w:val="24"/>
                <w:lang w:val="tr-TR" w:eastAsia="en-US" w:bidi="ar-SA"/>
              </w:rPr>
              <w:t>Seyran Koltuk</w:t>
            </w:r>
            <w:r>
              <w:rPr>
                <w:rFonts w:eastAsia="Calibri"/>
                <w:kern w:val="0"/>
                <w:sz w:val="22"/>
                <w:szCs w:val="22"/>
                <w:lang w:val="tr-TR" w:eastAsia="en-US" w:bidi="ar-SA"/>
              </w:rPr>
              <w:t xml:space="preserve"> tarafından yürütülen faaliyetler çerçevesinde, sunulan hizmetlerle ilgili veya </w:t>
            </w:r>
            <w:r>
              <w:rPr>
                <w:rFonts w:eastAsia="Calibri" w:cs="Calibri"/>
                <w:kern w:val="0"/>
                <w:sz w:val="24"/>
                <w:szCs w:val="24"/>
                <w:lang w:val="tr-TR" w:eastAsia="en-US" w:bidi="ar-SA"/>
              </w:rPr>
              <w:t>Seyran Koltuk ‘u</w:t>
            </w:r>
            <w:r>
              <w:rPr>
                <w:rFonts w:eastAsia="Calibri"/>
                <w:kern w:val="0"/>
                <w:sz w:val="22"/>
                <w:szCs w:val="22"/>
                <w:lang w:val="tr-TR" w:eastAsia="en-US" w:bidi="ar-SA"/>
              </w:rPr>
              <w:t>n ve kişisel veri sahibinin hukuki ve diğer menfaatlerini korumak amacıyla işlenen kişisel veri sahibinin aile bireyleri (örn. eş, anne, baba, çocuk), yakınları ve acil durumlarda ulaşılabilecek diğer kişiler hakkındaki bilgiler</w:t>
            </w:r>
          </w:p>
        </w:tc>
      </w:tr>
      <w:tr>
        <w:trPr>
          <w:trHeight w:val="1028" w:hRule="atLeast"/>
        </w:trPr>
        <w:tc>
          <w:tcPr>
            <w:tcW w:w="2659" w:type="dxa"/>
            <w:tcBorders/>
            <w:vAlign w:val="center"/>
          </w:tcPr>
          <w:p>
            <w:pPr>
              <w:pStyle w:val="Default"/>
              <w:widowControl/>
              <w:suppressAutoHyphens w:val="true"/>
              <w:spacing w:before="0" w:after="0"/>
              <w:jc w:val="left"/>
              <w:rPr>
                <w:rFonts w:ascii="Calibri" w:hAnsi="Calibri" w:cs="Calibri"/>
                <w:b/>
                <w:color w:val="auto"/>
                <w:sz w:val="22"/>
                <w:szCs w:val="22"/>
              </w:rPr>
            </w:pPr>
            <w:r>
              <w:rPr>
                <w:rFonts w:eastAsia="Calibri"/>
                <w:b/>
                <w:kern w:val="0"/>
                <w:lang w:val="tr-TR" w:eastAsia="en-US" w:bidi="ar-SA"/>
              </w:rPr>
              <w:t>Fiziksel Mekan Güvenlik Bilgisi</w:t>
            </w:r>
          </w:p>
        </w:tc>
        <w:tc>
          <w:tcPr>
            <w:tcW w:w="8174" w:type="dxa"/>
            <w:tcBorders/>
            <w:vAlign w:val="center"/>
          </w:tcPr>
          <w:p>
            <w:pPr>
              <w:pStyle w:val="Default"/>
              <w:widowControl/>
              <w:suppressAutoHyphens w:val="true"/>
              <w:spacing w:before="0" w:after="0"/>
              <w:jc w:val="left"/>
              <w:rPr>
                <w:rFonts w:ascii="Calibri" w:hAnsi="Calibri" w:cs="Calibri"/>
                <w:color w:val="auto"/>
                <w:sz w:val="22"/>
                <w:szCs w:val="22"/>
              </w:rPr>
            </w:pPr>
            <w:r>
              <w:rPr>
                <w:rFonts w:eastAsia="Calibri"/>
                <w:kern w:val="0"/>
                <w:sz w:val="22"/>
                <w:szCs w:val="22"/>
                <w:lang w:val="tr-TR" w:eastAsia="en-US" w:bidi="ar-SA"/>
              </w:rPr>
              <w:t>Fiziksel mekana girişte, fiziksel mekanın içerisinde kalış sırasında alınan kayıtlar ve belgelere ilişkin kişisel veriler; kamera kayıtları, araç bilgisi kayıtları v.b.</w:t>
            </w:r>
          </w:p>
        </w:tc>
      </w:tr>
      <w:tr>
        <w:trPr>
          <w:trHeight w:val="1338" w:hRule="atLeast"/>
        </w:trPr>
        <w:tc>
          <w:tcPr>
            <w:tcW w:w="2659" w:type="dxa"/>
            <w:tcBorders/>
            <w:vAlign w:val="center"/>
          </w:tcPr>
          <w:p>
            <w:pPr>
              <w:pStyle w:val="Default"/>
              <w:widowControl/>
              <w:suppressAutoHyphens w:val="true"/>
              <w:spacing w:before="0" w:after="0"/>
              <w:jc w:val="left"/>
              <w:rPr>
                <w:rFonts w:ascii="Calibri" w:hAnsi="Calibri" w:cs="Calibri"/>
                <w:b/>
                <w:color w:val="auto"/>
                <w:sz w:val="22"/>
                <w:szCs w:val="22"/>
              </w:rPr>
            </w:pPr>
            <w:r>
              <w:rPr>
                <w:rFonts w:eastAsia="Calibri"/>
                <w:b/>
                <w:kern w:val="0"/>
                <w:lang w:val="tr-TR" w:eastAsia="en-US" w:bidi="ar-SA"/>
              </w:rPr>
              <w:t>Finansal Bilgi</w:t>
            </w:r>
          </w:p>
        </w:tc>
        <w:tc>
          <w:tcPr>
            <w:tcW w:w="8174" w:type="dxa"/>
            <w:tcBorders/>
            <w:vAlign w:val="center"/>
          </w:tcPr>
          <w:p>
            <w:pPr>
              <w:pStyle w:val="Default"/>
              <w:widowControl/>
              <w:suppressAutoHyphens w:val="true"/>
              <w:spacing w:before="0" w:after="0"/>
              <w:jc w:val="left"/>
              <w:rPr>
                <w:rFonts w:ascii="Calibri" w:hAnsi="Calibri" w:cs="Calibri"/>
                <w:color w:val="auto"/>
                <w:sz w:val="22"/>
                <w:szCs w:val="22"/>
              </w:rPr>
            </w:pPr>
            <w:r>
              <w:rPr>
                <w:rFonts w:eastAsia="Calibri" w:cs="Calibri"/>
                <w:kern w:val="0"/>
                <w:sz w:val="24"/>
                <w:szCs w:val="24"/>
                <w:lang w:val="tr-TR" w:eastAsia="en-US" w:bidi="ar-SA"/>
              </w:rPr>
              <w:t>Seyran Koltuk’un</w:t>
            </w:r>
            <w:r>
              <w:rPr>
                <w:rFonts w:eastAsia="Calibri"/>
                <w:kern w:val="0"/>
                <w:sz w:val="22"/>
                <w:szCs w:val="22"/>
                <w:lang w:val="tr-TR" w:eastAsia="en-US" w:bidi="ar-SA"/>
              </w:rPr>
              <w:t xml:space="preserve"> kişisel veri sahibi ile kurmuş olduğu hukuki ilişkinin tipine göre yaratılan her türlü finansal sonucu gösteren bilgi, belge ve kayıtlara ilişkin işlenen kişisel veriler ile banka hesap numarası, IBAN numarası, gelir bilgisi, borç/alacak bilgisi gibi veriler</w:t>
            </w:r>
          </w:p>
        </w:tc>
      </w:tr>
      <w:tr>
        <w:trPr>
          <w:trHeight w:val="730" w:hRule="atLeast"/>
        </w:trPr>
        <w:tc>
          <w:tcPr>
            <w:tcW w:w="2659" w:type="dxa"/>
            <w:tcBorders/>
            <w:vAlign w:val="center"/>
          </w:tcPr>
          <w:p>
            <w:pPr>
              <w:pStyle w:val="Default"/>
              <w:widowControl/>
              <w:suppressAutoHyphens w:val="true"/>
              <w:spacing w:before="0" w:after="0"/>
              <w:jc w:val="left"/>
              <w:rPr>
                <w:rFonts w:ascii="Calibri" w:hAnsi="Calibri" w:cs="Calibri"/>
                <w:b/>
                <w:color w:val="auto"/>
                <w:sz w:val="22"/>
                <w:szCs w:val="22"/>
              </w:rPr>
            </w:pPr>
            <w:r>
              <w:rPr>
                <w:rFonts w:eastAsia="Calibri"/>
                <w:b/>
                <w:kern w:val="0"/>
                <w:lang w:val="tr-TR" w:eastAsia="en-US" w:bidi="ar-SA"/>
              </w:rPr>
              <w:t>Görsel/İşitsel Bilgi</w:t>
            </w:r>
          </w:p>
        </w:tc>
        <w:tc>
          <w:tcPr>
            <w:tcW w:w="8174" w:type="dxa"/>
            <w:tcBorders/>
            <w:vAlign w:val="center"/>
          </w:tcPr>
          <w:p>
            <w:pPr>
              <w:pStyle w:val="Default"/>
              <w:widowControl/>
              <w:suppressAutoHyphens w:val="true"/>
              <w:spacing w:before="0" w:after="0"/>
              <w:jc w:val="left"/>
              <w:rPr>
                <w:rFonts w:ascii="Calibri" w:hAnsi="Calibri" w:cs="Calibri"/>
                <w:color w:val="auto"/>
                <w:sz w:val="22"/>
                <w:szCs w:val="22"/>
              </w:rPr>
            </w:pPr>
            <w:r>
              <w:rPr>
                <w:rFonts w:eastAsia="Calibri"/>
                <w:kern w:val="0"/>
                <w:sz w:val="22"/>
                <w:szCs w:val="22"/>
                <w:lang w:val="tr-TR" w:eastAsia="en-US" w:bidi="ar-SA"/>
              </w:rPr>
              <w:t>Fotoğraf ve kamera kayıtları (Fiziksel Mekan Güvenlik Bilgisi kapsamında giren kayıtlar hariç) ve ses kayıtları</w:t>
            </w:r>
          </w:p>
        </w:tc>
      </w:tr>
      <w:tr>
        <w:trPr>
          <w:trHeight w:val="992" w:hRule="atLeast"/>
        </w:trPr>
        <w:tc>
          <w:tcPr>
            <w:tcW w:w="2659" w:type="dxa"/>
            <w:tcBorders/>
            <w:vAlign w:val="center"/>
          </w:tcPr>
          <w:p>
            <w:pPr>
              <w:pStyle w:val="Default"/>
              <w:widowControl/>
              <w:suppressAutoHyphens w:val="true"/>
              <w:spacing w:before="0" w:after="0"/>
              <w:jc w:val="left"/>
              <w:rPr>
                <w:rFonts w:ascii="Calibri" w:hAnsi="Calibri" w:cs="Calibri"/>
                <w:b/>
                <w:color w:val="auto"/>
                <w:sz w:val="22"/>
                <w:szCs w:val="22"/>
              </w:rPr>
            </w:pPr>
            <w:r>
              <w:rPr>
                <w:rFonts w:eastAsia="Calibri"/>
                <w:b/>
                <w:kern w:val="0"/>
                <w:lang w:val="tr-TR" w:eastAsia="en-US" w:bidi="ar-SA"/>
              </w:rPr>
              <w:t>Kurumsal Hafıza Bilgisi</w:t>
            </w:r>
          </w:p>
        </w:tc>
        <w:tc>
          <w:tcPr>
            <w:tcW w:w="8174" w:type="dxa"/>
            <w:tcBorders/>
            <w:vAlign w:val="center"/>
          </w:tcPr>
          <w:p>
            <w:pPr>
              <w:pStyle w:val="Default"/>
              <w:widowControl/>
              <w:suppressAutoHyphens w:val="true"/>
              <w:spacing w:before="0" w:after="0"/>
              <w:jc w:val="left"/>
              <w:rPr>
                <w:rFonts w:ascii="Calibri" w:hAnsi="Calibri" w:cs="Calibri"/>
                <w:color w:val="auto"/>
                <w:sz w:val="22"/>
                <w:szCs w:val="22"/>
              </w:rPr>
            </w:pPr>
            <w:r>
              <w:rPr>
                <w:rFonts w:eastAsia="Calibri" w:cs="Calibri"/>
                <w:kern w:val="0"/>
                <w:sz w:val="24"/>
                <w:szCs w:val="24"/>
                <w:lang w:val="tr-TR" w:eastAsia="en-US" w:bidi="ar-SA"/>
              </w:rPr>
              <w:t>Seyran Koltuk’un</w:t>
            </w:r>
            <w:r>
              <w:rPr>
                <w:rFonts w:eastAsia="Calibri"/>
                <w:kern w:val="0"/>
                <w:sz w:val="22"/>
                <w:szCs w:val="22"/>
                <w:lang w:val="tr-TR" w:eastAsia="en-US" w:bidi="ar-SA"/>
              </w:rPr>
              <w:t xml:space="preserve"> kurumsal hafızasını oluşturabilmek amacıyla </w:t>
            </w:r>
            <w:r>
              <w:rPr>
                <w:rFonts w:eastAsia="Calibri" w:cs="Calibri"/>
                <w:kern w:val="0"/>
                <w:sz w:val="24"/>
                <w:szCs w:val="24"/>
                <w:lang w:val="tr-TR" w:eastAsia="en-US" w:bidi="ar-SA"/>
              </w:rPr>
              <w:t>Seyran Koltuk</w:t>
            </w:r>
            <w:r>
              <w:rPr>
                <w:rFonts w:eastAsia="Calibri"/>
                <w:kern w:val="0"/>
                <w:sz w:val="22"/>
                <w:szCs w:val="22"/>
                <w:lang w:val="tr-TR" w:eastAsia="en-US" w:bidi="ar-SA"/>
              </w:rPr>
              <w:t xml:space="preserve"> tarafından yürütülen faaliyetler kapsamında işlenen anı, röportaj vb. bilgiler</w:t>
            </w:r>
          </w:p>
        </w:tc>
      </w:tr>
      <w:tr>
        <w:trPr>
          <w:trHeight w:val="1446" w:hRule="atLeast"/>
        </w:trPr>
        <w:tc>
          <w:tcPr>
            <w:tcW w:w="2659" w:type="dxa"/>
            <w:tcBorders/>
            <w:vAlign w:val="center"/>
          </w:tcPr>
          <w:p>
            <w:pPr>
              <w:pStyle w:val="Default"/>
              <w:widowControl/>
              <w:suppressAutoHyphens w:val="true"/>
              <w:spacing w:before="0" w:after="0"/>
              <w:jc w:val="left"/>
              <w:rPr>
                <w:rFonts w:ascii="Calibri" w:hAnsi="Calibri" w:cs="Calibri"/>
                <w:b/>
                <w:color w:val="auto"/>
                <w:sz w:val="22"/>
                <w:szCs w:val="22"/>
              </w:rPr>
            </w:pPr>
            <w:r>
              <w:rPr>
                <w:rFonts w:eastAsia="Calibri"/>
                <w:b/>
                <w:kern w:val="0"/>
                <w:lang w:val="tr-TR" w:eastAsia="en-US" w:bidi="ar-SA"/>
              </w:rPr>
              <w:t>Özel Nitelikli Kişisel Veri</w:t>
            </w:r>
          </w:p>
        </w:tc>
        <w:tc>
          <w:tcPr>
            <w:tcW w:w="8174" w:type="dxa"/>
            <w:tcBorders/>
            <w:vAlign w:val="center"/>
          </w:tcPr>
          <w:p>
            <w:pPr>
              <w:pStyle w:val="Default"/>
              <w:widowControl/>
              <w:suppressAutoHyphens w:val="true"/>
              <w:spacing w:before="0" w:after="0"/>
              <w:jc w:val="left"/>
              <w:rPr>
                <w:rFonts w:ascii="Calibri" w:hAnsi="Calibri" w:cs="Calibri"/>
                <w:color w:val="auto"/>
                <w:sz w:val="22"/>
                <w:szCs w:val="22"/>
              </w:rPr>
            </w:pPr>
            <w:r>
              <w:rPr>
                <w:rFonts w:eastAsia="Calibri"/>
                <w:kern w:val="0"/>
                <w:sz w:val="22"/>
                <w:szCs w:val="22"/>
                <w:lang w:val="tr-TR" w:eastAsia="en-US" w:bidi="ar-SA"/>
              </w:rPr>
              <w:t>Kişilerin ırkı, etnik kökeni, siyasi düşüncesi, felsefi inancı, dini, mezhebi veya diğer inançları, kılık ve kıyafeti, dernek, vakıf ya da sendika üyeliği, sağlığı, cinsel hayatı, ceza mahkumiyeti ve güvenlik tedbirleriyle ilgili verileri ile biyometrik ve genetik veriler</w:t>
            </w:r>
          </w:p>
        </w:tc>
      </w:tr>
      <w:tr>
        <w:trPr>
          <w:trHeight w:val="704" w:hRule="atLeast"/>
        </w:trPr>
        <w:tc>
          <w:tcPr>
            <w:tcW w:w="2659" w:type="dxa"/>
            <w:tcBorders/>
            <w:vAlign w:val="center"/>
          </w:tcPr>
          <w:p>
            <w:pPr>
              <w:pStyle w:val="Default"/>
              <w:widowControl/>
              <w:suppressAutoHyphens w:val="true"/>
              <w:spacing w:before="0" w:after="0"/>
              <w:jc w:val="left"/>
              <w:rPr>
                <w:rFonts w:ascii="Calibri" w:hAnsi="Calibri" w:cs="Calibri"/>
                <w:b/>
                <w:color w:val="auto"/>
                <w:sz w:val="22"/>
                <w:szCs w:val="22"/>
              </w:rPr>
            </w:pPr>
            <w:r>
              <w:rPr>
                <w:rFonts w:eastAsia="Calibri"/>
                <w:b/>
                <w:kern w:val="0"/>
                <w:lang w:val="tr-TR" w:eastAsia="en-US" w:bidi="ar-SA"/>
              </w:rPr>
              <w:t>Hukuki İşlem ve Uyum Bilgisi</w:t>
            </w:r>
          </w:p>
        </w:tc>
        <w:tc>
          <w:tcPr>
            <w:tcW w:w="8174" w:type="dxa"/>
            <w:tcBorders/>
            <w:vAlign w:val="center"/>
          </w:tcPr>
          <w:p>
            <w:pPr>
              <w:pStyle w:val="Default"/>
              <w:widowControl/>
              <w:suppressAutoHyphens w:val="true"/>
              <w:spacing w:before="0" w:after="0"/>
              <w:jc w:val="left"/>
              <w:rPr>
                <w:rFonts w:ascii="Calibri" w:hAnsi="Calibri" w:cs="Calibri"/>
                <w:color w:val="auto"/>
                <w:sz w:val="22"/>
                <w:szCs w:val="22"/>
              </w:rPr>
            </w:pPr>
            <w:r>
              <w:rPr>
                <w:rFonts w:eastAsia="Calibri"/>
                <w:kern w:val="0"/>
                <w:sz w:val="22"/>
                <w:szCs w:val="22"/>
                <w:lang w:val="tr-TR" w:eastAsia="en-US" w:bidi="ar-SA"/>
              </w:rPr>
              <w:t xml:space="preserve">Bilgisi Hukuki alacak ve haklarımızın tespiti, takibi ve borçlarımızın ifası ile kanuni yükümlülüklerimiz ve </w:t>
            </w:r>
            <w:r>
              <w:rPr>
                <w:rFonts w:eastAsia="Calibri" w:cs="Calibri"/>
                <w:kern w:val="0"/>
                <w:sz w:val="24"/>
                <w:szCs w:val="24"/>
                <w:lang w:val="tr-TR" w:eastAsia="en-US" w:bidi="ar-SA"/>
              </w:rPr>
              <w:t>Seyran Koltuk’un</w:t>
            </w:r>
            <w:r>
              <w:rPr>
                <w:rFonts w:eastAsia="Calibri"/>
                <w:kern w:val="0"/>
                <w:sz w:val="22"/>
                <w:szCs w:val="22"/>
                <w:lang w:val="tr-TR" w:eastAsia="en-US" w:bidi="ar-SA"/>
              </w:rPr>
              <w:t xml:space="preserve"> politikalarına uyum kapsamında işlenen kişisel veriler</w:t>
            </w:r>
          </w:p>
        </w:tc>
      </w:tr>
      <w:tr>
        <w:trPr>
          <w:trHeight w:val="1021" w:hRule="atLeast"/>
        </w:trPr>
        <w:tc>
          <w:tcPr>
            <w:tcW w:w="2659" w:type="dxa"/>
            <w:tcBorders/>
            <w:vAlign w:val="center"/>
          </w:tcPr>
          <w:p>
            <w:pPr>
              <w:pStyle w:val="Default"/>
              <w:widowControl/>
              <w:suppressAutoHyphens w:val="true"/>
              <w:spacing w:before="0" w:after="0"/>
              <w:jc w:val="left"/>
              <w:rPr>
                <w:rFonts w:ascii="Calibri" w:hAnsi="Calibri" w:cs="Calibri"/>
                <w:b/>
                <w:color w:val="auto"/>
                <w:sz w:val="22"/>
                <w:szCs w:val="22"/>
              </w:rPr>
            </w:pPr>
            <w:r>
              <w:rPr>
                <w:rFonts w:eastAsia="Calibri"/>
                <w:b/>
                <w:kern w:val="0"/>
                <w:lang w:val="tr-TR" w:eastAsia="en-US" w:bidi="ar-SA"/>
              </w:rPr>
              <w:t>Denetim ve Teftiş Bilgisi</w:t>
            </w:r>
          </w:p>
        </w:tc>
        <w:tc>
          <w:tcPr>
            <w:tcW w:w="8174" w:type="dxa"/>
            <w:tcBorders/>
            <w:vAlign w:val="center"/>
          </w:tcPr>
          <w:p>
            <w:pPr>
              <w:pStyle w:val="Default"/>
              <w:widowControl/>
              <w:suppressAutoHyphens w:val="true"/>
              <w:spacing w:before="0" w:after="0"/>
              <w:jc w:val="left"/>
              <w:rPr>
                <w:rFonts w:ascii="Calibri" w:hAnsi="Calibri" w:cs="Calibri"/>
                <w:color w:val="auto"/>
                <w:sz w:val="22"/>
                <w:szCs w:val="22"/>
              </w:rPr>
            </w:pPr>
            <w:r>
              <w:rPr>
                <w:rFonts w:eastAsia="Calibri"/>
                <w:kern w:val="0"/>
                <w:sz w:val="22"/>
                <w:szCs w:val="22"/>
                <w:lang w:val="tr-TR" w:eastAsia="en-US" w:bidi="ar-SA"/>
              </w:rPr>
              <w:t xml:space="preserve">Bilgisi </w:t>
            </w:r>
            <w:r>
              <w:rPr>
                <w:rFonts w:eastAsia="Calibri" w:cs="Calibri"/>
                <w:kern w:val="0"/>
                <w:sz w:val="24"/>
                <w:szCs w:val="24"/>
                <w:lang w:val="tr-TR" w:eastAsia="en-US" w:bidi="ar-SA"/>
              </w:rPr>
              <w:t>Seyran Koltuk’u</w:t>
            </w:r>
            <w:r>
              <w:rPr>
                <w:rFonts w:eastAsia="Calibri"/>
                <w:kern w:val="0"/>
                <w:sz w:val="22"/>
                <w:szCs w:val="22"/>
                <w:lang w:val="tr-TR" w:eastAsia="en-US" w:bidi="ar-SA"/>
              </w:rPr>
              <w:t>n operasyonel, finansal, suistimal ve uyum denetimi faaliyetlerinin yürütülmesine ilişkin işlenen kişisel veriler</w:t>
            </w:r>
          </w:p>
        </w:tc>
      </w:tr>
      <w:tr>
        <w:trPr>
          <w:trHeight w:val="530" w:hRule="atLeast"/>
        </w:trPr>
        <w:tc>
          <w:tcPr>
            <w:tcW w:w="2659" w:type="dxa"/>
            <w:tcBorders/>
            <w:vAlign w:val="center"/>
          </w:tcPr>
          <w:p>
            <w:pPr>
              <w:pStyle w:val="Default"/>
              <w:widowControl/>
              <w:suppressAutoHyphens w:val="true"/>
              <w:spacing w:before="0" w:after="0"/>
              <w:jc w:val="left"/>
              <w:rPr>
                <w:rFonts w:ascii="Calibri" w:hAnsi="Calibri" w:cs="Calibri"/>
                <w:b/>
                <w:color w:val="auto"/>
                <w:sz w:val="22"/>
                <w:szCs w:val="22"/>
              </w:rPr>
            </w:pPr>
            <w:r>
              <w:rPr>
                <w:rFonts w:eastAsia="Calibri"/>
                <w:b/>
                <w:kern w:val="0"/>
                <w:lang w:val="tr-TR" w:eastAsia="en-US" w:bidi="ar-SA"/>
              </w:rPr>
              <w:t>Talep/Şikayet Yönetimi Bilgisi</w:t>
            </w:r>
          </w:p>
        </w:tc>
        <w:tc>
          <w:tcPr>
            <w:tcW w:w="8174" w:type="dxa"/>
            <w:tcBorders/>
            <w:vAlign w:val="center"/>
          </w:tcPr>
          <w:p>
            <w:pPr>
              <w:pStyle w:val="Default"/>
              <w:widowControl/>
              <w:suppressAutoHyphens w:val="true"/>
              <w:spacing w:before="0" w:after="0"/>
              <w:jc w:val="left"/>
              <w:rPr>
                <w:rFonts w:ascii="Calibri" w:hAnsi="Calibri" w:cs="Calibri"/>
                <w:color w:val="auto"/>
                <w:sz w:val="22"/>
                <w:szCs w:val="22"/>
              </w:rPr>
            </w:pPr>
            <w:r>
              <w:rPr>
                <w:rFonts w:eastAsia="Calibri" w:cs="Calibri"/>
                <w:kern w:val="0"/>
                <w:sz w:val="24"/>
                <w:szCs w:val="24"/>
                <w:lang w:val="tr-TR" w:eastAsia="en-US" w:bidi="ar-SA"/>
              </w:rPr>
              <w:t xml:space="preserve">Seyran Koltuk’a </w:t>
            </w:r>
            <w:r>
              <w:rPr>
                <w:rFonts w:eastAsia="Calibri"/>
                <w:kern w:val="0"/>
                <w:sz w:val="22"/>
                <w:szCs w:val="22"/>
                <w:lang w:val="tr-TR" w:eastAsia="en-US" w:bidi="ar-SA"/>
              </w:rPr>
              <w:t>yöneltilmiş olan her türlü talep veya şikayetin alınması ve değerlendirilmesine ilişkin kişisel veriler</w:t>
            </w:r>
          </w:p>
        </w:tc>
      </w:tr>
    </w:tbl>
    <w:p>
      <w:pPr>
        <w:pStyle w:val="Default"/>
        <w:jc w:val="both"/>
        <w:rPr>
          <w:rFonts w:ascii="Calibri" w:hAnsi="Calibri" w:cs="Calibri"/>
          <w:color w:val="auto"/>
          <w:sz w:val="22"/>
          <w:szCs w:val="22"/>
        </w:rPr>
      </w:pPr>
      <w:r>
        <w:rPr>
          <w:rFonts w:cs="Calibri" w:ascii="Calibri" w:hAnsi="Calibri"/>
          <w:color w:val="auto"/>
          <w:sz w:val="22"/>
          <w:szCs w:val="22"/>
        </w:rPr>
      </w:r>
    </w:p>
    <w:p>
      <w:pPr>
        <w:pStyle w:val="Default"/>
        <w:jc w:val="both"/>
        <w:rPr>
          <w:rFonts w:ascii="Calibri" w:hAnsi="Calibri" w:cs="Calibri"/>
          <w:color w:val="auto"/>
          <w:sz w:val="22"/>
          <w:szCs w:val="22"/>
        </w:rPr>
      </w:pPr>
      <w:r>
        <w:rPr>
          <w:rFonts w:cs="Calibri" w:ascii="Calibri" w:hAnsi="Calibri"/>
          <w:color w:val="auto"/>
          <w:sz w:val="22"/>
          <w:szCs w:val="22"/>
        </w:rPr>
      </w:r>
    </w:p>
    <w:p>
      <w:pPr>
        <w:pStyle w:val="Default"/>
        <w:numPr>
          <w:ilvl w:val="0"/>
          <w:numId w:val="6"/>
        </w:numPr>
        <w:jc w:val="both"/>
        <w:rPr>
          <w:rFonts w:cs="Calibri"/>
          <w:b/>
          <w:color w:themeColor="text1" w:val="000000"/>
          <w:sz w:val="22"/>
          <w:szCs w:val="22"/>
        </w:rPr>
      </w:pPr>
      <w:r>
        <w:rPr>
          <w:rFonts w:cs="Calibri"/>
          <w:b/>
          <w:color w:themeColor="text1" w:val="000000"/>
          <w:sz w:val="22"/>
          <w:szCs w:val="22"/>
        </w:rPr>
        <w:t>SÖZ KONUSU KİŞİSEL VERİLERİN İŞLENME AMAÇLARI ŞU ŞEKİLDEDİR:</w:t>
      </w:r>
    </w:p>
    <w:p>
      <w:pPr>
        <w:pStyle w:val="Default"/>
        <w:ind w:left="360"/>
        <w:jc w:val="both"/>
        <w:rPr>
          <w:rFonts w:cs="Calibri"/>
          <w:b/>
          <w:color w:themeColor="text1" w:val="000000"/>
          <w:sz w:val="22"/>
          <w:szCs w:val="22"/>
        </w:rPr>
      </w:pPr>
      <w:r>
        <w:rPr>
          <w:rFonts w:cs="Calibri"/>
          <w:b/>
          <w:color w:themeColor="text1" w:val="000000"/>
          <w:sz w:val="22"/>
          <w:szCs w:val="22"/>
        </w:rPr>
      </w:r>
    </w:p>
    <w:p>
      <w:pPr>
        <w:pStyle w:val="Default"/>
        <w:ind w:left="720"/>
        <w:jc w:val="both"/>
        <w:rPr>
          <w:rFonts w:cs="Calibri"/>
          <w:color w:val="auto"/>
          <w:sz w:val="22"/>
          <w:szCs w:val="22"/>
        </w:rPr>
      </w:pPr>
      <w:r>
        <w:rPr>
          <w:rFonts w:cs="Calibri"/>
          <w:color w:val="auto"/>
          <w:sz w:val="22"/>
          <w:szCs w:val="22"/>
        </w:rPr>
      </w:r>
    </w:p>
    <w:tbl>
      <w:tblPr>
        <w:tblStyle w:val="TabloKlavuzu"/>
        <w:tblW w:w="1083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070"/>
        <w:gridCol w:w="5763"/>
      </w:tblGrid>
      <w:tr>
        <w:trPr>
          <w:trHeight w:val="575" w:hRule="atLeast"/>
        </w:trPr>
        <w:tc>
          <w:tcPr>
            <w:tcW w:w="5070" w:type="dxa"/>
            <w:tcBorders/>
            <w:vAlign w:val="center"/>
          </w:tcPr>
          <w:p>
            <w:pPr>
              <w:pStyle w:val="Default"/>
              <w:widowControl/>
              <w:suppressAutoHyphens w:val="true"/>
              <w:spacing w:before="0" w:after="0"/>
              <w:jc w:val="center"/>
              <w:rPr>
                <w:rFonts w:ascii="Calibri" w:hAnsi="Calibri" w:cs="Calibri"/>
                <w:b/>
                <w:bCs/>
                <w:color w:val="auto"/>
              </w:rPr>
            </w:pPr>
            <w:r>
              <w:rPr>
                <w:rFonts w:eastAsia="Calibri"/>
                <w:b/>
                <w:kern w:val="0"/>
                <w:lang w:val="tr-TR" w:eastAsia="en-US" w:bidi="ar-SA"/>
              </w:rPr>
              <w:t>ANA AMAÇLAR (BİRİNCİL)</w:t>
            </w:r>
          </w:p>
        </w:tc>
        <w:tc>
          <w:tcPr>
            <w:tcW w:w="5763" w:type="dxa"/>
            <w:tcBorders/>
            <w:vAlign w:val="center"/>
          </w:tcPr>
          <w:p>
            <w:pPr>
              <w:pStyle w:val="Default"/>
              <w:widowControl/>
              <w:suppressAutoHyphens w:val="true"/>
              <w:spacing w:before="0" w:after="0"/>
              <w:jc w:val="center"/>
              <w:rPr>
                <w:rFonts w:ascii="Calibri" w:hAnsi="Calibri" w:cs="Calibri"/>
                <w:b/>
                <w:bCs/>
                <w:color w:val="auto"/>
              </w:rPr>
            </w:pPr>
            <w:r>
              <w:rPr>
                <w:rFonts w:eastAsia="Calibri"/>
                <w:b/>
                <w:kern w:val="0"/>
                <w:lang w:val="tr-TR" w:eastAsia="en-US" w:bidi="ar-SA"/>
              </w:rPr>
              <w:t>ALT AMAÇLAR (İKİNCİL)</w:t>
            </w:r>
          </w:p>
        </w:tc>
      </w:tr>
      <w:tr>
        <w:trPr>
          <w:trHeight w:val="808" w:hRule="atLeast"/>
        </w:trPr>
        <w:tc>
          <w:tcPr>
            <w:tcW w:w="5070" w:type="dxa"/>
            <w:tcBorders/>
            <w:vAlign w:val="center"/>
          </w:tcPr>
          <w:p>
            <w:pPr>
              <w:pStyle w:val="Default"/>
              <w:widowControl/>
              <w:suppressAutoHyphens w:val="true"/>
              <w:spacing w:before="0" w:after="0"/>
              <w:jc w:val="left"/>
              <w:rPr>
                <w:rFonts w:ascii="Calibri" w:hAnsi="Calibri" w:cs="Calibri"/>
                <w:b/>
                <w:bCs/>
                <w:color w:val="auto"/>
                <w:sz w:val="22"/>
                <w:szCs w:val="22"/>
              </w:rPr>
            </w:pPr>
            <w:r>
              <w:rPr>
                <w:rFonts w:eastAsia="Calibri" w:cs="Calibri"/>
                <w:b/>
                <w:kern w:val="0"/>
                <w:sz w:val="24"/>
                <w:szCs w:val="24"/>
                <w:lang w:val="tr-TR" w:eastAsia="en-US" w:bidi="ar-SA"/>
              </w:rPr>
              <w:t>Seyran Koltuk’un</w:t>
            </w:r>
            <w:r>
              <w:rPr>
                <w:rFonts w:eastAsia="Calibri"/>
                <w:b/>
                <w:kern w:val="0"/>
                <w:sz w:val="22"/>
                <w:szCs w:val="22"/>
                <w:lang w:val="tr-TR" w:eastAsia="en-US" w:bidi="ar-SA"/>
              </w:rPr>
              <w:t xml:space="preserve"> İnsan Kaynakları Politikaları ve Süreçlerinin Planlanmasının ve İcra Edilmesi</w:t>
            </w:r>
          </w:p>
        </w:tc>
        <w:tc>
          <w:tcPr>
            <w:tcW w:w="5763" w:type="dxa"/>
            <w:tcBorders/>
            <w:vAlign w:val="center"/>
          </w:tcPr>
          <w:p>
            <w:pPr>
              <w:pStyle w:val="Default"/>
              <w:widowControl/>
              <w:suppressAutoHyphens w:val="true"/>
              <w:spacing w:before="0" w:after="0"/>
              <w:jc w:val="left"/>
              <w:rPr>
                <w:rFonts w:ascii="Calibri" w:hAnsi="Calibri" w:cs="Calibri"/>
                <w:bCs/>
                <w:color w:val="auto"/>
                <w:sz w:val="22"/>
                <w:szCs w:val="22"/>
              </w:rPr>
            </w:pPr>
            <w:r>
              <w:rPr>
                <w:rFonts w:eastAsia="Calibri"/>
                <w:kern w:val="0"/>
                <w:sz w:val="22"/>
                <w:szCs w:val="22"/>
                <w:lang w:val="tr-TR" w:eastAsia="en-US" w:bidi="ar-SA"/>
              </w:rPr>
              <w:t>Personel Temin Süreçlerinin Yürütülmesi</w:t>
            </w:r>
          </w:p>
        </w:tc>
      </w:tr>
      <w:tr>
        <w:trPr>
          <w:trHeight w:val="651" w:hRule="atLeast"/>
        </w:trPr>
        <w:tc>
          <w:tcPr>
            <w:tcW w:w="5070" w:type="dxa"/>
            <w:vMerge w:val="restart"/>
            <w:tcBorders/>
            <w:vAlign w:val="center"/>
          </w:tcPr>
          <w:p>
            <w:pPr>
              <w:pStyle w:val="Default"/>
              <w:widowControl/>
              <w:suppressAutoHyphens w:val="true"/>
              <w:spacing w:before="0" w:after="240"/>
              <w:jc w:val="left"/>
              <w:rPr>
                <w:rFonts w:ascii="Calibri" w:hAnsi="Calibri" w:cs="Calibri"/>
                <w:b/>
                <w:bCs/>
                <w:color w:val="auto"/>
                <w:sz w:val="22"/>
                <w:szCs w:val="22"/>
              </w:rPr>
            </w:pPr>
            <w:r>
              <w:rPr>
                <w:rFonts w:eastAsia="Calibri" w:cs="Calibri"/>
                <w:b/>
                <w:kern w:val="0"/>
                <w:sz w:val="24"/>
                <w:szCs w:val="24"/>
                <w:lang w:val="tr-TR" w:eastAsia="en-US" w:bidi="ar-SA"/>
              </w:rPr>
              <w:t>Seyran Koltuk</w:t>
            </w:r>
            <w:r>
              <w:rPr>
                <w:rFonts w:eastAsia="Calibri"/>
                <w:b/>
                <w:kern w:val="0"/>
                <w:sz w:val="22"/>
                <w:szCs w:val="22"/>
                <w:lang w:val="tr-TR" w:eastAsia="en-US" w:bidi="ar-SA"/>
              </w:rPr>
              <w:t xml:space="preserve"> Tarafından Yürütülen Ticari Faaliyetlerin Gerçekleştirilmesi İçin İlgili İş Birimlerimiz Tarafından Gerekli Çalışmaların Yapılması ve Buna Bağlı İş Süreçlerinin Yürütülmesi</w:t>
            </w:r>
          </w:p>
          <w:p>
            <w:pPr>
              <w:pStyle w:val="Normal"/>
              <w:widowControl/>
              <w:suppressAutoHyphens w:val="true"/>
              <w:spacing w:before="0" w:after="0"/>
              <w:jc w:val="left"/>
              <w:rPr>
                <w:lang w:eastAsia="en-US"/>
              </w:rPr>
            </w:pPr>
            <w:r>
              <w:rPr>
                <w:lang w:eastAsia="en-US"/>
              </w:rPr>
            </w:r>
          </w:p>
          <w:p>
            <w:pPr>
              <w:pStyle w:val="Normal"/>
              <w:widowControl/>
              <w:suppressAutoHyphens w:val="true"/>
              <w:spacing w:before="0" w:after="0"/>
              <w:jc w:val="left"/>
              <w:rPr>
                <w:lang w:eastAsia="en-US"/>
              </w:rPr>
            </w:pPr>
            <w:r>
              <w:rPr>
                <w:lang w:eastAsia="en-US"/>
              </w:rPr>
            </w:r>
          </w:p>
          <w:p>
            <w:pPr>
              <w:pStyle w:val="Normal"/>
              <w:widowControl/>
              <w:suppressAutoHyphens w:val="true"/>
              <w:spacing w:before="0" w:after="0"/>
              <w:jc w:val="left"/>
              <w:rPr>
                <w:lang w:eastAsia="en-US"/>
              </w:rPr>
            </w:pPr>
            <w:r>
              <w:rPr>
                <w:lang w:eastAsia="en-US"/>
              </w:rPr>
            </w:r>
          </w:p>
          <w:p>
            <w:pPr>
              <w:pStyle w:val="Normal"/>
              <w:widowControl/>
              <w:suppressAutoHyphens w:val="true"/>
              <w:spacing w:before="0" w:after="0"/>
              <w:jc w:val="left"/>
              <w:rPr>
                <w:lang w:eastAsia="en-US"/>
              </w:rPr>
            </w:pPr>
            <w:r>
              <w:rPr>
                <w:lang w:eastAsia="en-US"/>
              </w:rPr>
            </w:r>
          </w:p>
          <w:p>
            <w:pPr>
              <w:pStyle w:val="Normal"/>
              <w:widowControl/>
              <w:suppressAutoHyphens w:val="true"/>
              <w:spacing w:before="0" w:after="0"/>
              <w:jc w:val="left"/>
              <w:rPr>
                <w:lang w:eastAsia="en-US"/>
              </w:rPr>
            </w:pPr>
            <w:r>
              <w:rPr>
                <w:lang w:eastAsia="en-US"/>
              </w:rPr>
            </w:r>
          </w:p>
          <w:p>
            <w:pPr>
              <w:pStyle w:val="Normal"/>
              <w:widowControl/>
              <w:suppressAutoHyphens w:val="true"/>
              <w:spacing w:before="0" w:after="0"/>
              <w:jc w:val="left"/>
              <w:rPr>
                <w:lang w:eastAsia="en-US"/>
              </w:rPr>
            </w:pPr>
            <w:r>
              <w:rPr>
                <w:lang w:eastAsia="en-US"/>
              </w:rPr>
            </w:r>
          </w:p>
          <w:p>
            <w:pPr>
              <w:pStyle w:val="Normal"/>
              <w:widowControl/>
              <w:suppressAutoHyphens w:val="true"/>
              <w:spacing w:before="0" w:after="0"/>
              <w:jc w:val="left"/>
              <w:rPr>
                <w:lang w:eastAsia="en-US"/>
              </w:rPr>
            </w:pPr>
            <w:r>
              <w:rPr>
                <w:lang w:eastAsia="en-US"/>
              </w:rPr>
            </w:r>
          </w:p>
          <w:p>
            <w:pPr>
              <w:pStyle w:val="Normal"/>
              <w:widowControl/>
              <w:suppressAutoHyphens w:val="true"/>
              <w:spacing w:before="0" w:after="0"/>
              <w:jc w:val="left"/>
              <w:rPr>
                <w:lang w:eastAsia="en-US"/>
              </w:rPr>
            </w:pPr>
            <w:r>
              <w:rPr>
                <w:lang w:eastAsia="en-US"/>
              </w:rPr>
            </w:r>
          </w:p>
        </w:tc>
        <w:tc>
          <w:tcPr>
            <w:tcW w:w="5763" w:type="dxa"/>
            <w:tcBorders/>
            <w:vAlign w:val="center"/>
          </w:tcPr>
          <w:p>
            <w:pPr>
              <w:pStyle w:val="Default"/>
              <w:widowControl/>
              <w:suppressAutoHyphens w:val="true"/>
              <w:spacing w:before="120" w:after="120"/>
              <w:jc w:val="left"/>
              <w:rPr>
                <w:rFonts w:ascii="Calibri" w:hAnsi="Calibri" w:cs="Calibri"/>
                <w:bCs/>
                <w:color w:val="auto"/>
                <w:sz w:val="22"/>
                <w:szCs w:val="22"/>
              </w:rPr>
            </w:pPr>
            <w:r>
              <w:rPr>
                <w:rFonts w:eastAsia="Calibri"/>
                <w:kern w:val="0"/>
                <w:sz w:val="22"/>
                <w:szCs w:val="22"/>
                <w:lang w:val="tr-TR" w:eastAsia="en-US" w:bidi="ar-SA"/>
              </w:rPr>
              <w:t>Etkinlik Yönetimi</w:t>
            </w:r>
          </w:p>
        </w:tc>
      </w:tr>
      <w:tr>
        <w:trPr>
          <w:trHeight w:val="703" w:hRule="atLeast"/>
        </w:trPr>
        <w:tc>
          <w:tcPr>
            <w:tcW w:w="5070" w:type="dxa"/>
            <w:vMerge w:val="continue"/>
            <w:tcBorders/>
            <w:vAlign w:val="center"/>
          </w:tcPr>
          <w:p>
            <w:pPr>
              <w:pStyle w:val="Default"/>
              <w:widowControl/>
              <w:suppressAutoHyphens w:val="true"/>
              <w:spacing w:before="0" w:after="240"/>
              <w:jc w:val="left"/>
              <w:rPr>
                <w:b/>
                <w:sz w:val="22"/>
                <w:szCs w:val="22"/>
              </w:rPr>
            </w:pPr>
            <w:r>
              <w:rPr>
                <w:b/>
                <w:sz w:val="22"/>
                <w:szCs w:val="22"/>
              </w:rPr>
            </w:r>
          </w:p>
        </w:tc>
        <w:tc>
          <w:tcPr>
            <w:tcW w:w="5763" w:type="dxa"/>
            <w:tcBorders/>
            <w:vAlign w:val="center"/>
          </w:tcPr>
          <w:p>
            <w:pPr>
              <w:pStyle w:val="Default"/>
              <w:widowControl/>
              <w:suppressAutoHyphens w:val="true"/>
              <w:spacing w:before="120" w:after="120"/>
              <w:jc w:val="left"/>
              <w:rPr>
                <w:rFonts w:ascii="Calibri" w:hAnsi="Calibri" w:cs="Calibri"/>
                <w:bCs/>
                <w:color w:val="auto"/>
                <w:sz w:val="22"/>
                <w:szCs w:val="22"/>
              </w:rPr>
            </w:pPr>
            <w:r>
              <w:rPr>
                <w:rFonts w:eastAsia="Calibri"/>
                <w:kern w:val="0"/>
                <w:sz w:val="22"/>
                <w:szCs w:val="22"/>
                <w:lang w:val="tr-TR" w:eastAsia="en-US" w:bidi="ar-SA"/>
              </w:rPr>
              <w:t>Kurumsal İletişim Faaliyetlerinin Planlanması ve İcrası</w:t>
            </w:r>
          </w:p>
        </w:tc>
      </w:tr>
      <w:tr>
        <w:trPr>
          <w:trHeight w:val="345" w:hRule="atLeast"/>
        </w:trPr>
        <w:tc>
          <w:tcPr>
            <w:tcW w:w="5070" w:type="dxa"/>
            <w:vMerge w:val="continue"/>
            <w:tcBorders/>
            <w:vAlign w:val="center"/>
          </w:tcPr>
          <w:p>
            <w:pPr>
              <w:pStyle w:val="Default"/>
              <w:widowControl/>
              <w:suppressAutoHyphens w:val="true"/>
              <w:spacing w:before="0" w:after="240"/>
              <w:jc w:val="left"/>
              <w:rPr>
                <w:b/>
                <w:sz w:val="22"/>
                <w:szCs w:val="22"/>
              </w:rPr>
            </w:pPr>
            <w:r>
              <w:rPr>
                <w:b/>
                <w:sz w:val="22"/>
                <w:szCs w:val="22"/>
              </w:rPr>
            </w:r>
          </w:p>
        </w:tc>
        <w:tc>
          <w:tcPr>
            <w:tcW w:w="5763" w:type="dxa"/>
            <w:tcBorders/>
            <w:vAlign w:val="center"/>
          </w:tcPr>
          <w:p>
            <w:pPr>
              <w:pStyle w:val="Default"/>
              <w:widowControl/>
              <w:suppressAutoHyphens w:val="true"/>
              <w:spacing w:before="120" w:after="120"/>
              <w:jc w:val="left"/>
              <w:rPr>
                <w:rFonts w:ascii="Calibri" w:hAnsi="Calibri" w:cs="Calibri"/>
                <w:bCs/>
                <w:color w:val="auto"/>
                <w:sz w:val="22"/>
                <w:szCs w:val="22"/>
              </w:rPr>
            </w:pPr>
            <w:r>
              <w:rPr>
                <w:rFonts w:eastAsia="Calibri"/>
                <w:kern w:val="0"/>
                <w:sz w:val="22"/>
                <w:szCs w:val="22"/>
                <w:lang w:val="tr-TR" w:eastAsia="en-US" w:bidi="ar-SA"/>
              </w:rPr>
              <w:t>Bilgi Güvenliği Süreçlerinin Planlanması, Denetimi ve İcrası</w:t>
            </w:r>
          </w:p>
        </w:tc>
      </w:tr>
      <w:tr>
        <w:trPr>
          <w:trHeight w:val="225" w:hRule="atLeast"/>
        </w:trPr>
        <w:tc>
          <w:tcPr>
            <w:tcW w:w="5070" w:type="dxa"/>
            <w:vMerge w:val="continue"/>
            <w:tcBorders/>
            <w:vAlign w:val="center"/>
          </w:tcPr>
          <w:p>
            <w:pPr>
              <w:pStyle w:val="Default"/>
              <w:widowControl/>
              <w:suppressAutoHyphens w:val="true"/>
              <w:spacing w:before="0" w:after="240"/>
              <w:jc w:val="left"/>
              <w:rPr>
                <w:b/>
                <w:sz w:val="22"/>
                <w:szCs w:val="22"/>
              </w:rPr>
            </w:pPr>
            <w:r>
              <w:rPr>
                <w:b/>
                <w:sz w:val="22"/>
                <w:szCs w:val="22"/>
              </w:rPr>
            </w:r>
          </w:p>
        </w:tc>
        <w:tc>
          <w:tcPr>
            <w:tcW w:w="5763" w:type="dxa"/>
            <w:tcBorders/>
            <w:vAlign w:val="center"/>
          </w:tcPr>
          <w:p>
            <w:pPr>
              <w:pStyle w:val="Default"/>
              <w:widowControl/>
              <w:suppressAutoHyphens w:val="true"/>
              <w:spacing w:before="120" w:after="120"/>
              <w:jc w:val="left"/>
              <w:rPr>
                <w:rFonts w:ascii="Calibri" w:hAnsi="Calibri" w:cs="Calibri"/>
                <w:bCs/>
                <w:color w:val="auto"/>
                <w:sz w:val="22"/>
                <w:szCs w:val="22"/>
              </w:rPr>
            </w:pPr>
            <w:r>
              <w:rPr>
                <w:rFonts w:eastAsia="Calibri"/>
                <w:kern w:val="0"/>
                <w:sz w:val="22"/>
                <w:szCs w:val="22"/>
                <w:lang w:val="tr-TR" w:eastAsia="en-US" w:bidi="ar-SA"/>
              </w:rPr>
              <w:t>Bilgi Teknolojileri Alt Yapısının Oluşturulması ve Yönetilmesi</w:t>
            </w:r>
          </w:p>
        </w:tc>
      </w:tr>
      <w:tr>
        <w:trPr>
          <w:trHeight w:val="315" w:hRule="atLeast"/>
        </w:trPr>
        <w:tc>
          <w:tcPr>
            <w:tcW w:w="5070" w:type="dxa"/>
            <w:vMerge w:val="continue"/>
            <w:tcBorders/>
            <w:vAlign w:val="center"/>
          </w:tcPr>
          <w:p>
            <w:pPr>
              <w:pStyle w:val="Default"/>
              <w:widowControl/>
              <w:suppressAutoHyphens w:val="true"/>
              <w:spacing w:before="0" w:after="240"/>
              <w:jc w:val="left"/>
              <w:rPr>
                <w:b/>
                <w:sz w:val="22"/>
                <w:szCs w:val="22"/>
              </w:rPr>
            </w:pPr>
            <w:r>
              <w:rPr>
                <w:b/>
                <w:sz w:val="22"/>
                <w:szCs w:val="22"/>
              </w:rPr>
            </w:r>
          </w:p>
        </w:tc>
        <w:tc>
          <w:tcPr>
            <w:tcW w:w="5763" w:type="dxa"/>
            <w:tcBorders/>
            <w:vAlign w:val="center"/>
          </w:tcPr>
          <w:p>
            <w:pPr>
              <w:pStyle w:val="Default"/>
              <w:widowControl/>
              <w:suppressAutoHyphens w:val="true"/>
              <w:spacing w:before="120" w:after="120"/>
              <w:jc w:val="left"/>
              <w:rPr>
                <w:rFonts w:ascii="Calibri" w:hAnsi="Calibri" w:cs="Calibri"/>
                <w:bCs/>
                <w:color w:val="auto"/>
                <w:sz w:val="22"/>
                <w:szCs w:val="22"/>
              </w:rPr>
            </w:pPr>
            <w:r>
              <w:rPr>
                <w:rFonts w:eastAsia="Calibri"/>
                <w:kern w:val="0"/>
                <w:sz w:val="22"/>
                <w:szCs w:val="22"/>
                <w:lang w:val="tr-TR" w:eastAsia="en-US" w:bidi="ar-SA"/>
              </w:rPr>
              <w:t>Finans ve/veya Muhasebe İşlerinin Takibi</w:t>
            </w:r>
          </w:p>
        </w:tc>
      </w:tr>
      <w:tr>
        <w:trPr>
          <w:trHeight w:val="240" w:hRule="atLeast"/>
        </w:trPr>
        <w:tc>
          <w:tcPr>
            <w:tcW w:w="5070" w:type="dxa"/>
            <w:vMerge w:val="continue"/>
            <w:tcBorders/>
            <w:vAlign w:val="center"/>
          </w:tcPr>
          <w:p>
            <w:pPr>
              <w:pStyle w:val="Default"/>
              <w:widowControl/>
              <w:suppressAutoHyphens w:val="true"/>
              <w:spacing w:before="0" w:after="240"/>
              <w:jc w:val="left"/>
              <w:rPr>
                <w:b/>
                <w:sz w:val="22"/>
                <w:szCs w:val="22"/>
              </w:rPr>
            </w:pPr>
            <w:r>
              <w:rPr>
                <w:b/>
                <w:sz w:val="22"/>
                <w:szCs w:val="22"/>
              </w:rPr>
            </w:r>
          </w:p>
        </w:tc>
        <w:tc>
          <w:tcPr>
            <w:tcW w:w="5763" w:type="dxa"/>
            <w:tcBorders/>
            <w:vAlign w:val="center"/>
          </w:tcPr>
          <w:p>
            <w:pPr>
              <w:pStyle w:val="Default"/>
              <w:widowControl/>
              <w:suppressAutoHyphens w:val="true"/>
              <w:spacing w:before="120" w:after="120"/>
              <w:jc w:val="left"/>
              <w:rPr>
                <w:rFonts w:ascii="Calibri" w:hAnsi="Calibri" w:cs="Calibri"/>
                <w:bCs/>
                <w:color w:val="auto"/>
                <w:sz w:val="22"/>
                <w:szCs w:val="22"/>
              </w:rPr>
            </w:pPr>
            <w:r>
              <w:rPr>
                <w:rFonts w:eastAsia="Calibri"/>
                <w:kern w:val="0"/>
                <w:sz w:val="22"/>
                <w:szCs w:val="22"/>
                <w:lang w:val="tr-TR" w:eastAsia="en-US" w:bidi="ar-SA"/>
              </w:rPr>
              <w:t>Kurumsal Sürdürülebilirlik Faaliyetlerin Planlanması ve İcrası</w:t>
            </w:r>
          </w:p>
        </w:tc>
      </w:tr>
      <w:tr>
        <w:trPr>
          <w:trHeight w:val="255" w:hRule="atLeast"/>
        </w:trPr>
        <w:tc>
          <w:tcPr>
            <w:tcW w:w="5070" w:type="dxa"/>
            <w:vMerge w:val="continue"/>
            <w:tcBorders/>
            <w:vAlign w:val="center"/>
          </w:tcPr>
          <w:p>
            <w:pPr>
              <w:pStyle w:val="Default"/>
              <w:widowControl/>
              <w:suppressAutoHyphens w:val="true"/>
              <w:spacing w:before="0" w:after="240"/>
              <w:jc w:val="left"/>
              <w:rPr>
                <w:b/>
                <w:sz w:val="22"/>
                <w:szCs w:val="22"/>
              </w:rPr>
            </w:pPr>
            <w:r>
              <w:rPr>
                <w:b/>
                <w:sz w:val="22"/>
                <w:szCs w:val="22"/>
              </w:rPr>
            </w:r>
          </w:p>
        </w:tc>
        <w:tc>
          <w:tcPr>
            <w:tcW w:w="5763" w:type="dxa"/>
            <w:tcBorders/>
            <w:vAlign w:val="center"/>
          </w:tcPr>
          <w:p>
            <w:pPr>
              <w:pStyle w:val="Default"/>
              <w:widowControl/>
              <w:suppressAutoHyphens w:val="true"/>
              <w:spacing w:before="120" w:after="120"/>
              <w:jc w:val="left"/>
              <w:rPr>
                <w:rFonts w:ascii="Calibri" w:hAnsi="Calibri" w:cs="Calibri"/>
                <w:bCs/>
                <w:color w:val="auto"/>
                <w:sz w:val="22"/>
                <w:szCs w:val="22"/>
              </w:rPr>
            </w:pPr>
            <w:r>
              <w:rPr>
                <w:rFonts w:eastAsia="Calibri"/>
                <w:kern w:val="0"/>
                <w:sz w:val="22"/>
                <w:szCs w:val="22"/>
                <w:lang w:val="tr-TR" w:eastAsia="en-US" w:bidi="ar-SA"/>
              </w:rPr>
              <w:t>İş Faaliyetlerinin Etkinlik/Verimlilik ve/veya Yerindelik Analizlerinin Gerçekleştirilmesi Faaliyetlerinin Planlanması ve/veya İcrası</w:t>
            </w:r>
          </w:p>
        </w:tc>
      </w:tr>
      <w:tr>
        <w:trPr>
          <w:trHeight w:val="270" w:hRule="atLeast"/>
        </w:trPr>
        <w:tc>
          <w:tcPr>
            <w:tcW w:w="5070" w:type="dxa"/>
            <w:vMerge w:val="continue"/>
            <w:tcBorders/>
            <w:vAlign w:val="center"/>
          </w:tcPr>
          <w:p>
            <w:pPr>
              <w:pStyle w:val="Default"/>
              <w:widowControl/>
              <w:suppressAutoHyphens w:val="true"/>
              <w:spacing w:before="0" w:after="240"/>
              <w:jc w:val="left"/>
              <w:rPr>
                <w:b/>
                <w:sz w:val="22"/>
                <w:szCs w:val="22"/>
              </w:rPr>
            </w:pPr>
            <w:r>
              <w:rPr>
                <w:b/>
                <w:sz w:val="22"/>
                <w:szCs w:val="22"/>
              </w:rPr>
            </w:r>
          </w:p>
        </w:tc>
        <w:tc>
          <w:tcPr>
            <w:tcW w:w="5763" w:type="dxa"/>
            <w:tcBorders/>
            <w:vAlign w:val="center"/>
          </w:tcPr>
          <w:p>
            <w:pPr>
              <w:pStyle w:val="Default"/>
              <w:widowControl/>
              <w:suppressAutoHyphens w:val="true"/>
              <w:spacing w:before="120" w:after="120"/>
              <w:jc w:val="left"/>
              <w:rPr>
                <w:rFonts w:ascii="Calibri" w:hAnsi="Calibri" w:cs="Calibri"/>
                <w:bCs/>
                <w:color w:val="auto"/>
                <w:sz w:val="22"/>
                <w:szCs w:val="22"/>
              </w:rPr>
            </w:pPr>
            <w:r>
              <w:rPr>
                <w:rFonts w:eastAsia="Calibri"/>
                <w:kern w:val="0"/>
                <w:sz w:val="22"/>
                <w:szCs w:val="22"/>
                <w:lang w:val="tr-TR" w:eastAsia="en-US" w:bidi="ar-SA"/>
              </w:rPr>
              <w:t>Kurumsal Yönetim Faaliyetlerin Planlanması ve İcrası</w:t>
            </w:r>
          </w:p>
        </w:tc>
      </w:tr>
      <w:tr>
        <w:trPr>
          <w:trHeight w:val="630" w:hRule="atLeast"/>
        </w:trPr>
        <w:tc>
          <w:tcPr>
            <w:tcW w:w="5070" w:type="dxa"/>
            <w:vMerge w:val="restart"/>
            <w:tcBorders/>
            <w:vAlign w:val="center"/>
          </w:tcPr>
          <w:p>
            <w:pPr>
              <w:pStyle w:val="Default"/>
              <w:widowControl/>
              <w:suppressAutoHyphens w:val="true"/>
              <w:spacing w:before="0" w:after="240"/>
              <w:jc w:val="left"/>
              <w:rPr>
                <w:rFonts w:ascii="Calibri" w:hAnsi="Calibri" w:cs="Calibri"/>
                <w:b/>
                <w:bCs/>
                <w:color w:val="auto"/>
                <w:sz w:val="22"/>
                <w:szCs w:val="22"/>
              </w:rPr>
            </w:pPr>
            <w:r>
              <w:rPr>
                <w:rFonts w:eastAsia="Calibri" w:cs="Calibri"/>
                <w:b/>
                <w:kern w:val="0"/>
                <w:sz w:val="24"/>
                <w:szCs w:val="24"/>
                <w:lang w:val="tr-TR" w:eastAsia="en-US" w:bidi="ar-SA"/>
              </w:rPr>
              <w:t>Seyran Koltuk’un</w:t>
            </w:r>
            <w:r>
              <w:rPr>
                <w:rFonts w:eastAsia="Calibri"/>
                <w:b/>
                <w:kern w:val="0"/>
                <w:sz w:val="22"/>
                <w:szCs w:val="22"/>
                <w:lang w:val="tr-TR" w:eastAsia="en-US" w:bidi="ar-SA"/>
              </w:rPr>
              <w:t xml:space="preserve"> Ticari ve/veya İş Stratejilerinin Planlanması ve İcrası</w:t>
            </w:r>
          </w:p>
        </w:tc>
        <w:tc>
          <w:tcPr>
            <w:tcW w:w="5763" w:type="dxa"/>
            <w:tcBorders/>
            <w:vAlign w:val="center"/>
          </w:tcPr>
          <w:p>
            <w:pPr>
              <w:pStyle w:val="Default"/>
              <w:widowControl/>
              <w:suppressAutoHyphens w:val="true"/>
              <w:spacing w:before="120" w:after="120"/>
              <w:jc w:val="left"/>
              <w:rPr>
                <w:rFonts w:ascii="Calibri" w:hAnsi="Calibri" w:cs="Calibri"/>
                <w:bCs/>
                <w:color w:val="auto"/>
                <w:sz w:val="22"/>
                <w:szCs w:val="22"/>
              </w:rPr>
            </w:pPr>
            <w:r>
              <w:rPr>
                <w:rFonts w:eastAsia="Calibri"/>
                <w:kern w:val="0"/>
                <w:sz w:val="22"/>
                <w:szCs w:val="22"/>
                <w:lang w:val="tr-TR" w:eastAsia="en-US" w:bidi="ar-SA"/>
              </w:rPr>
              <w:t>İş Ortakları ve/veya Tedarikçilerle Olan İlişkilerin Yönetimi</w:t>
            </w:r>
          </w:p>
        </w:tc>
      </w:tr>
      <w:tr>
        <w:trPr>
          <w:trHeight w:val="165" w:hRule="atLeast"/>
        </w:trPr>
        <w:tc>
          <w:tcPr>
            <w:tcW w:w="5070" w:type="dxa"/>
            <w:vMerge w:val="continue"/>
            <w:tcBorders/>
            <w:vAlign w:val="center"/>
          </w:tcPr>
          <w:p>
            <w:pPr>
              <w:pStyle w:val="Default"/>
              <w:widowControl/>
              <w:suppressAutoHyphens w:val="true"/>
              <w:spacing w:before="0" w:after="240"/>
              <w:jc w:val="left"/>
              <w:rPr>
                <w:b/>
                <w:sz w:val="22"/>
                <w:szCs w:val="22"/>
              </w:rPr>
            </w:pPr>
            <w:r>
              <w:rPr>
                <w:b/>
                <w:sz w:val="22"/>
                <w:szCs w:val="22"/>
              </w:rPr>
            </w:r>
          </w:p>
        </w:tc>
        <w:tc>
          <w:tcPr>
            <w:tcW w:w="5763" w:type="dxa"/>
            <w:tcBorders/>
            <w:vAlign w:val="center"/>
          </w:tcPr>
          <w:p>
            <w:pPr>
              <w:pStyle w:val="Default"/>
              <w:widowControl/>
              <w:suppressAutoHyphens w:val="true"/>
              <w:spacing w:before="120" w:after="120"/>
              <w:jc w:val="left"/>
              <w:rPr>
                <w:sz w:val="22"/>
                <w:szCs w:val="22"/>
              </w:rPr>
            </w:pPr>
            <w:r>
              <w:rPr>
                <w:rFonts w:eastAsia="Calibri"/>
                <w:kern w:val="0"/>
                <w:sz w:val="22"/>
                <w:szCs w:val="22"/>
                <w:lang w:val="tr-TR" w:eastAsia="en-US" w:bidi="ar-SA"/>
              </w:rPr>
              <w:t>Stratejik Planlama Faaliyetlerinin İcrası</w:t>
            </w:r>
          </w:p>
        </w:tc>
      </w:tr>
      <w:tr>
        <w:trPr>
          <w:trHeight w:val="285" w:hRule="atLeast"/>
        </w:trPr>
        <w:tc>
          <w:tcPr>
            <w:tcW w:w="5070" w:type="dxa"/>
            <w:vMerge w:val="restart"/>
            <w:tcBorders/>
            <w:vAlign w:val="center"/>
          </w:tcPr>
          <w:p>
            <w:pPr>
              <w:pStyle w:val="Default"/>
              <w:widowControl/>
              <w:suppressAutoHyphens w:val="true"/>
              <w:spacing w:before="0" w:after="240"/>
              <w:jc w:val="left"/>
              <w:rPr>
                <w:rFonts w:ascii="Calibri" w:hAnsi="Calibri" w:cs="Calibri"/>
                <w:b/>
                <w:bCs/>
                <w:color w:val="auto"/>
                <w:sz w:val="22"/>
                <w:szCs w:val="22"/>
              </w:rPr>
            </w:pPr>
            <w:r>
              <w:rPr>
                <w:rFonts w:eastAsia="Calibri" w:cs="Calibri"/>
                <w:b/>
                <w:kern w:val="0"/>
                <w:sz w:val="24"/>
                <w:szCs w:val="24"/>
                <w:lang w:val="tr-TR" w:eastAsia="en-US" w:bidi="ar-SA"/>
              </w:rPr>
              <w:t>Seyran Koltuk</w:t>
            </w:r>
            <w:r>
              <w:rPr>
                <w:rFonts w:eastAsia="Calibri"/>
                <w:b/>
                <w:kern w:val="0"/>
                <w:sz w:val="22"/>
                <w:szCs w:val="22"/>
                <w:lang w:val="tr-TR" w:eastAsia="en-US" w:bidi="ar-SA"/>
              </w:rPr>
              <w:t xml:space="preserve"> İnsan Kaynakları Politikaları ve Süreçlerinin Planlanması ve İcrası</w:t>
            </w:r>
          </w:p>
        </w:tc>
        <w:tc>
          <w:tcPr>
            <w:tcW w:w="5763" w:type="dxa"/>
            <w:tcBorders/>
            <w:vAlign w:val="center"/>
          </w:tcPr>
          <w:p>
            <w:pPr>
              <w:pStyle w:val="Default"/>
              <w:widowControl/>
              <w:suppressAutoHyphens w:val="true"/>
              <w:spacing w:before="120" w:after="120"/>
              <w:jc w:val="left"/>
              <w:rPr>
                <w:rFonts w:ascii="Calibri" w:hAnsi="Calibri" w:cs="Calibri"/>
                <w:bCs/>
                <w:color w:val="auto"/>
                <w:sz w:val="22"/>
                <w:szCs w:val="22"/>
              </w:rPr>
            </w:pPr>
            <w:r>
              <w:rPr>
                <w:rFonts w:eastAsia="Calibri"/>
                <w:kern w:val="0"/>
                <w:sz w:val="22"/>
                <w:szCs w:val="22"/>
                <w:lang w:val="tr-TR" w:eastAsia="en-US" w:bidi="ar-SA"/>
              </w:rPr>
              <w:t>Çalışan Talep ve Şikayet Yönetimi</w:t>
            </w:r>
          </w:p>
        </w:tc>
      </w:tr>
      <w:tr>
        <w:trPr>
          <w:trHeight w:val="270" w:hRule="atLeast"/>
        </w:trPr>
        <w:tc>
          <w:tcPr>
            <w:tcW w:w="5070" w:type="dxa"/>
            <w:vMerge w:val="continue"/>
            <w:tcBorders/>
            <w:vAlign w:val="center"/>
          </w:tcPr>
          <w:p>
            <w:pPr>
              <w:pStyle w:val="Default"/>
              <w:widowControl/>
              <w:suppressAutoHyphens w:val="true"/>
              <w:spacing w:before="0" w:after="240"/>
              <w:jc w:val="left"/>
              <w:rPr>
                <w:b/>
                <w:sz w:val="22"/>
                <w:szCs w:val="22"/>
              </w:rPr>
            </w:pPr>
            <w:r>
              <w:rPr>
                <w:b/>
                <w:sz w:val="22"/>
                <w:szCs w:val="22"/>
              </w:rPr>
            </w:r>
          </w:p>
        </w:tc>
        <w:tc>
          <w:tcPr>
            <w:tcW w:w="5763" w:type="dxa"/>
            <w:tcBorders/>
            <w:vAlign w:val="center"/>
          </w:tcPr>
          <w:p>
            <w:pPr>
              <w:pStyle w:val="Default"/>
              <w:widowControl/>
              <w:suppressAutoHyphens w:val="true"/>
              <w:spacing w:before="120" w:after="120"/>
              <w:jc w:val="left"/>
              <w:rPr>
                <w:rFonts w:ascii="Calibri" w:hAnsi="Calibri" w:cs="Calibri"/>
                <w:bCs/>
                <w:color w:val="auto"/>
                <w:sz w:val="22"/>
                <w:szCs w:val="22"/>
              </w:rPr>
            </w:pPr>
            <w:r>
              <w:rPr>
                <w:rFonts w:eastAsia="Calibri"/>
                <w:kern w:val="0"/>
                <w:sz w:val="22"/>
                <w:szCs w:val="22"/>
                <w:lang w:val="tr-TR" w:eastAsia="en-US" w:bidi="ar-SA"/>
              </w:rPr>
              <w:t xml:space="preserve"> </w:t>
            </w:r>
            <w:r>
              <w:rPr>
                <w:rFonts w:eastAsia="Calibri" w:cs="Calibri"/>
                <w:kern w:val="0"/>
                <w:sz w:val="24"/>
                <w:szCs w:val="24"/>
                <w:lang w:val="tr-TR" w:eastAsia="en-US" w:bidi="ar-SA"/>
              </w:rPr>
              <w:t>Seyran Koltuk</w:t>
            </w:r>
            <w:r>
              <w:rPr>
                <w:rFonts w:eastAsia="Calibri"/>
                <w:kern w:val="0"/>
                <w:sz w:val="22"/>
                <w:szCs w:val="22"/>
                <w:lang w:val="tr-TR" w:eastAsia="en-US" w:bidi="ar-SA"/>
              </w:rPr>
              <w:t xml:space="preserve"> ücret yönetimine ilişkin analiz ve iyileştirme faaliyetlerinin planlanması</w:t>
            </w:r>
          </w:p>
        </w:tc>
      </w:tr>
      <w:tr>
        <w:trPr>
          <w:trHeight w:val="203" w:hRule="atLeast"/>
        </w:trPr>
        <w:tc>
          <w:tcPr>
            <w:tcW w:w="5070" w:type="dxa"/>
            <w:vMerge w:val="continue"/>
            <w:tcBorders/>
            <w:vAlign w:val="center"/>
          </w:tcPr>
          <w:p>
            <w:pPr>
              <w:pStyle w:val="Default"/>
              <w:widowControl/>
              <w:suppressAutoHyphens w:val="true"/>
              <w:spacing w:before="0" w:after="240"/>
              <w:jc w:val="left"/>
              <w:rPr>
                <w:b/>
                <w:sz w:val="22"/>
                <w:szCs w:val="22"/>
              </w:rPr>
            </w:pPr>
            <w:r>
              <w:rPr>
                <w:b/>
                <w:sz w:val="22"/>
                <w:szCs w:val="22"/>
              </w:rPr>
            </w:r>
          </w:p>
        </w:tc>
        <w:tc>
          <w:tcPr>
            <w:tcW w:w="5763" w:type="dxa"/>
            <w:tcBorders/>
            <w:vAlign w:val="center"/>
          </w:tcPr>
          <w:p>
            <w:pPr>
              <w:pStyle w:val="Default"/>
              <w:widowControl/>
              <w:suppressAutoHyphens w:val="true"/>
              <w:spacing w:before="120" w:after="120"/>
              <w:jc w:val="left"/>
              <w:rPr>
                <w:rFonts w:ascii="Calibri" w:hAnsi="Calibri" w:cs="Calibri"/>
                <w:bCs/>
                <w:color w:val="auto"/>
                <w:sz w:val="22"/>
                <w:szCs w:val="22"/>
              </w:rPr>
            </w:pPr>
            <w:r>
              <w:rPr>
                <w:rFonts w:eastAsia="Calibri" w:cs="Calibri"/>
                <w:kern w:val="0"/>
                <w:sz w:val="24"/>
                <w:szCs w:val="24"/>
                <w:lang w:val="tr-TR" w:eastAsia="en-US" w:bidi="ar-SA"/>
              </w:rPr>
              <w:t>Seyran Koltuk</w:t>
            </w:r>
            <w:r>
              <w:rPr>
                <w:rFonts w:eastAsia="Calibri"/>
                <w:kern w:val="0"/>
                <w:sz w:val="22"/>
                <w:szCs w:val="22"/>
                <w:lang w:val="tr-TR" w:eastAsia="en-US" w:bidi="ar-SA"/>
              </w:rPr>
              <w:t xml:space="preserve"> Çalışanlarına yan hak ve menfaat sağlanması süreçlerinin planlanması ve destek olunması</w:t>
            </w:r>
          </w:p>
        </w:tc>
      </w:tr>
      <w:tr>
        <w:trPr>
          <w:trHeight w:val="233" w:hRule="atLeast"/>
        </w:trPr>
        <w:tc>
          <w:tcPr>
            <w:tcW w:w="5070" w:type="dxa"/>
            <w:vMerge w:val="continue"/>
            <w:tcBorders/>
            <w:vAlign w:val="center"/>
          </w:tcPr>
          <w:p>
            <w:pPr>
              <w:pStyle w:val="Default"/>
              <w:widowControl/>
              <w:suppressAutoHyphens w:val="true"/>
              <w:spacing w:before="0" w:after="240"/>
              <w:jc w:val="left"/>
              <w:rPr>
                <w:b/>
                <w:sz w:val="22"/>
                <w:szCs w:val="22"/>
              </w:rPr>
            </w:pPr>
            <w:r>
              <w:rPr>
                <w:b/>
                <w:sz w:val="22"/>
                <w:szCs w:val="22"/>
              </w:rPr>
            </w:r>
          </w:p>
        </w:tc>
        <w:tc>
          <w:tcPr>
            <w:tcW w:w="5763" w:type="dxa"/>
            <w:tcBorders/>
            <w:vAlign w:val="center"/>
          </w:tcPr>
          <w:p>
            <w:pPr>
              <w:pStyle w:val="Default"/>
              <w:widowControl/>
              <w:suppressAutoHyphens w:val="true"/>
              <w:spacing w:before="120" w:after="120"/>
              <w:jc w:val="left"/>
              <w:rPr>
                <w:rFonts w:ascii="Calibri" w:hAnsi="Calibri" w:cs="Calibri"/>
                <w:bCs/>
                <w:color w:val="auto"/>
                <w:sz w:val="22"/>
                <w:szCs w:val="22"/>
              </w:rPr>
            </w:pPr>
            <w:r>
              <w:rPr>
                <w:rFonts w:eastAsia="Calibri" w:cs="Calibri"/>
                <w:kern w:val="0"/>
                <w:sz w:val="24"/>
                <w:szCs w:val="24"/>
                <w:lang w:val="tr-TR" w:eastAsia="en-US" w:bidi="ar-SA"/>
              </w:rPr>
              <w:t>Seyran Koltuk</w:t>
            </w:r>
            <w:r>
              <w:rPr>
                <w:rFonts w:eastAsia="Calibri"/>
                <w:kern w:val="0"/>
                <w:sz w:val="22"/>
                <w:szCs w:val="22"/>
                <w:lang w:val="tr-TR" w:eastAsia="en-US" w:bidi="ar-SA"/>
              </w:rPr>
              <w:t xml:space="preserve"> çalışanlarının ücret yönetiminin planlanması faaliyetlerine destek olunması</w:t>
            </w:r>
          </w:p>
        </w:tc>
      </w:tr>
      <w:tr>
        <w:trPr>
          <w:trHeight w:val="285" w:hRule="atLeast"/>
        </w:trPr>
        <w:tc>
          <w:tcPr>
            <w:tcW w:w="5070" w:type="dxa"/>
            <w:vMerge w:val="continue"/>
            <w:tcBorders/>
            <w:vAlign w:val="center"/>
          </w:tcPr>
          <w:p>
            <w:pPr>
              <w:pStyle w:val="Default"/>
              <w:widowControl/>
              <w:suppressAutoHyphens w:val="true"/>
              <w:spacing w:before="0" w:after="240"/>
              <w:jc w:val="left"/>
              <w:rPr>
                <w:b/>
                <w:sz w:val="22"/>
                <w:szCs w:val="22"/>
              </w:rPr>
            </w:pPr>
            <w:r>
              <w:rPr>
                <w:b/>
                <w:sz w:val="22"/>
                <w:szCs w:val="22"/>
              </w:rPr>
            </w:r>
          </w:p>
        </w:tc>
        <w:tc>
          <w:tcPr>
            <w:tcW w:w="5763" w:type="dxa"/>
            <w:tcBorders/>
            <w:vAlign w:val="center"/>
          </w:tcPr>
          <w:p>
            <w:pPr>
              <w:pStyle w:val="Default"/>
              <w:widowControl/>
              <w:suppressAutoHyphens w:val="true"/>
              <w:spacing w:before="120" w:after="120"/>
              <w:jc w:val="left"/>
              <w:rPr>
                <w:rFonts w:ascii="Calibri" w:hAnsi="Calibri" w:cs="Calibri"/>
                <w:bCs/>
                <w:color w:val="auto"/>
                <w:sz w:val="22"/>
                <w:szCs w:val="22"/>
              </w:rPr>
            </w:pPr>
            <w:r>
              <w:rPr>
                <w:rFonts w:eastAsia="Calibri" w:cs="Calibri"/>
                <w:kern w:val="0"/>
                <w:sz w:val="24"/>
                <w:szCs w:val="24"/>
                <w:lang w:val="tr-TR" w:eastAsia="en-US" w:bidi="ar-SA"/>
              </w:rPr>
              <w:t>Seyran Koltuk</w:t>
            </w:r>
            <w:r>
              <w:rPr>
                <w:rFonts w:eastAsia="Calibri"/>
                <w:kern w:val="0"/>
                <w:sz w:val="22"/>
                <w:szCs w:val="22"/>
                <w:lang w:val="tr-TR" w:eastAsia="en-US" w:bidi="ar-SA"/>
              </w:rPr>
              <w:t xml:space="preserve"> çalışanlarının eğitim ve kariyer gelişimlerine ilişkin süreçlerin planlanması ve destek verilmesi</w:t>
            </w:r>
          </w:p>
        </w:tc>
      </w:tr>
      <w:tr>
        <w:trPr>
          <w:trHeight w:val="300" w:hRule="atLeast"/>
        </w:trPr>
        <w:tc>
          <w:tcPr>
            <w:tcW w:w="5070" w:type="dxa"/>
            <w:vMerge w:val="continue"/>
            <w:tcBorders/>
            <w:vAlign w:val="center"/>
          </w:tcPr>
          <w:p>
            <w:pPr>
              <w:pStyle w:val="Default"/>
              <w:widowControl/>
              <w:suppressAutoHyphens w:val="true"/>
              <w:spacing w:before="0" w:after="240"/>
              <w:jc w:val="left"/>
              <w:rPr>
                <w:b/>
                <w:sz w:val="22"/>
                <w:szCs w:val="22"/>
              </w:rPr>
            </w:pPr>
            <w:r>
              <w:rPr>
                <w:b/>
                <w:sz w:val="22"/>
                <w:szCs w:val="22"/>
              </w:rPr>
            </w:r>
          </w:p>
        </w:tc>
        <w:tc>
          <w:tcPr>
            <w:tcW w:w="5763" w:type="dxa"/>
            <w:tcBorders/>
            <w:vAlign w:val="center"/>
          </w:tcPr>
          <w:p>
            <w:pPr>
              <w:pStyle w:val="Default"/>
              <w:widowControl/>
              <w:suppressAutoHyphens w:val="true"/>
              <w:spacing w:before="120" w:after="120"/>
              <w:jc w:val="left"/>
              <w:rPr>
                <w:rFonts w:ascii="Calibri" w:hAnsi="Calibri" w:cs="Calibri"/>
                <w:bCs/>
                <w:color w:val="auto"/>
                <w:sz w:val="22"/>
                <w:szCs w:val="22"/>
              </w:rPr>
            </w:pPr>
            <w:r>
              <w:rPr>
                <w:rFonts w:eastAsia="Calibri" w:cs="Calibri"/>
                <w:kern w:val="0"/>
                <w:sz w:val="24"/>
                <w:szCs w:val="24"/>
                <w:lang w:val="tr-TR" w:eastAsia="en-US" w:bidi="ar-SA"/>
              </w:rPr>
              <w:t>Seyran Koltuk</w:t>
            </w:r>
            <w:r>
              <w:rPr>
                <w:rFonts w:eastAsia="Calibri"/>
                <w:kern w:val="0"/>
                <w:sz w:val="22"/>
                <w:szCs w:val="22"/>
                <w:lang w:val="tr-TR" w:eastAsia="en-US" w:bidi="ar-SA"/>
              </w:rPr>
              <w:t xml:space="preserve"> çalışanlarının memnuniyet ve bağlılığının artırılmasına yönelik süreçlerin planlanması ve yönetilmesi</w:t>
            </w:r>
          </w:p>
        </w:tc>
      </w:tr>
      <w:tr>
        <w:trPr>
          <w:trHeight w:val="218" w:hRule="atLeast"/>
        </w:trPr>
        <w:tc>
          <w:tcPr>
            <w:tcW w:w="5070" w:type="dxa"/>
            <w:vMerge w:val="continue"/>
            <w:tcBorders/>
            <w:vAlign w:val="center"/>
          </w:tcPr>
          <w:p>
            <w:pPr>
              <w:pStyle w:val="Default"/>
              <w:widowControl/>
              <w:suppressAutoHyphens w:val="true"/>
              <w:spacing w:before="0" w:after="240"/>
              <w:jc w:val="left"/>
              <w:rPr>
                <w:b/>
                <w:sz w:val="22"/>
                <w:szCs w:val="22"/>
              </w:rPr>
            </w:pPr>
            <w:r>
              <w:rPr>
                <w:b/>
                <w:sz w:val="22"/>
                <w:szCs w:val="22"/>
              </w:rPr>
            </w:r>
          </w:p>
        </w:tc>
        <w:tc>
          <w:tcPr>
            <w:tcW w:w="5763" w:type="dxa"/>
            <w:tcBorders/>
            <w:vAlign w:val="center"/>
          </w:tcPr>
          <w:p>
            <w:pPr>
              <w:pStyle w:val="Default"/>
              <w:widowControl/>
              <w:suppressAutoHyphens w:val="true"/>
              <w:spacing w:before="120" w:after="120"/>
              <w:jc w:val="left"/>
              <w:rPr>
                <w:rFonts w:ascii="Calibri" w:hAnsi="Calibri" w:cs="Calibri"/>
                <w:bCs/>
                <w:color w:val="auto"/>
                <w:sz w:val="22"/>
                <w:szCs w:val="22"/>
              </w:rPr>
            </w:pPr>
            <w:r>
              <w:rPr>
                <w:rFonts w:eastAsia="Calibri"/>
                <w:kern w:val="0"/>
                <w:sz w:val="22"/>
                <w:szCs w:val="22"/>
                <w:lang w:val="tr-TR" w:eastAsia="en-US" w:bidi="ar-SA"/>
              </w:rPr>
              <w:t>Stajyer ve/veya Öğrenci Temin, Yerleştirilmesi ve Operasyon Süreçlerinin Planlanması ve/veya İcrası</w:t>
            </w:r>
          </w:p>
        </w:tc>
      </w:tr>
      <w:tr>
        <w:trPr>
          <w:trHeight w:val="570" w:hRule="atLeast"/>
        </w:trPr>
        <w:tc>
          <w:tcPr>
            <w:tcW w:w="5070" w:type="dxa"/>
            <w:vMerge w:val="restart"/>
            <w:tcBorders/>
            <w:vAlign w:val="center"/>
          </w:tcPr>
          <w:p>
            <w:pPr>
              <w:pStyle w:val="Default"/>
              <w:widowControl/>
              <w:suppressAutoHyphens w:val="true"/>
              <w:spacing w:before="0" w:after="240"/>
              <w:jc w:val="left"/>
              <w:rPr>
                <w:rFonts w:ascii="Calibri" w:hAnsi="Calibri" w:cs="Calibri"/>
                <w:b/>
                <w:bCs/>
                <w:color w:val="auto"/>
                <w:sz w:val="22"/>
                <w:szCs w:val="22"/>
              </w:rPr>
            </w:pPr>
            <w:r>
              <w:rPr>
                <w:rFonts w:eastAsia="Calibri" w:cs="Calibri"/>
                <w:b/>
                <w:kern w:val="0"/>
                <w:sz w:val="24"/>
                <w:szCs w:val="24"/>
                <w:lang w:val="tr-TR" w:eastAsia="en-US" w:bidi="ar-SA"/>
              </w:rPr>
              <w:t xml:space="preserve">Seyran Koltuk ‘un </w:t>
            </w:r>
            <w:r>
              <w:rPr>
                <w:rFonts w:eastAsia="Calibri"/>
                <w:b/>
                <w:kern w:val="0"/>
                <w:sz w:val="22"/>
                <w:szCs w:val="22"/>
                <w:lang w:val="tr-TR" w:eastAsia="en-US" w:bidi="ar-SA"/>
              </w:rPr>
              <w:t xml:space="preserve">Stratejik İnsan Kaynakları Planlanması, Yedekleme Süreçleri ve </w:t>
            </w:r>
            <w:r>
              <w:rPr>
                <w:rFonts w:eastAsia="Calibri" w:cs="Calibri"/>
                <w:b/>
                <w:kern w:val="0"/>
                <w:sz w:val="24"/>
                <w:szCs w:val="24"/>
                <w:lang w:val="tr-TR" w:eastAsia="en-US" w:bidi="ar-SA"/>
              </w:rPr>
              <w:t>Seyran Koltuk</w:t>
            </w:r>
            <w:r>
              <w:rPr>
                <w:rFonts w:eastAsia="Calibri"/>
                <w:b/>
                <w:kern w:val="0"/>
                <w:sz w:val="22"/>
                <w:szCs w:val="22"/>
                <w:lang w:val="tr-TR" w:eastAsia="en-US" w:bidi="ar-SA"/>
              </w:rPr>
              <w:t xml:space="preserve"> çalışanlarının performans değerlendirilmelerine ilişkin süreçlerin yönetilmesi  Organizasyonel Gelişim Faaliyetleri Konusunda Destek Olunması</w:t>
            </w:r>
          </w:p>
        </w:tc>
        <w:tc>
          <w:tcPr>
            <w:tcW w:w="5763" w:type="dxa"/>
            <w:tcBorders/>
            <w:vAlign w:val="center"/>
          </w:tcPr>
          <w:p>
            <w:pPr>
              <w:pStyle w:val="Default"/>
              <w:widowControl/>
              <w:suppressAutoHyphens w:val="true"/>
              <w:spacing w:before="120" w:after="120"/>
              <w:jc w:val="left"/>
              <w:rPr>
                <w:rFonts w:ascii="Calibri" w:hAnsi="Calibri" w:cs="Calibri"/>
                <w:bCs/>
                <w:color w:val="auto"/>
                <w:sz w:val="22"/>
                <w:szCs w:val="22"/>
              </w:rPr>
            </w:pPr>
            <w:r>
              <w:rPr>
                <w:rFonts w:eastAsia="Calibri" w:cs="Calibri"/>
                <w:kern w:val="0"/>
                <w:sz w:val="24"/>
                <w:szCs w:val="24"/>
                <w:lang w:val="tr-TR" w:eastAsia="en-US" w:bidi="ar-SA"/>
              </w:rPr>
              <w:t>Seyran Koltuk</w:t>
            </w:r>
            <w:r>
              <w:rPr>
                <w:rFonts w:eastAsia="Calibri"/>
                <w:kern w:val="0"/>
                <w:sz w:val="22"/>
                <w:szCs w:val="22"/>
                <w:lang w:val="tr-TR" w:eastAsia="en-US" w:bidi="ar-SA"/>
              </w:rPr>
              <w:t xml:space="preserve"> çalışanlarının performans değerlendirilmelerine ilişkin süreçlerin yönetilmesi</w:t>
            </w:r>
          </w:p>
        </w:tc>
      </w:tr>
      <w:tr>
        <w:trPr>
          <w:trHeight w:val="405" w:hRule="atLeast"/>
        </w:trPr>
        <w:tc>
          <w:tcPr>
            <w:tcW w:w="5070" w:type="dxa"/>
            <w:vMerge w:val="continue"/>
            <w:tcBorders/>
            <w:vAlign w:val="center"/>
          </w:tcPr>
          <w:p>
            <w:pPr>
              <w:pStyle w:val="Default"/>
              <w:widowControl/>
              <w:suppressAutoHyphens w:val="true"/>
              <w:spacing w:before="0" w:after="240"/>
              <w:jc w:val="left"/>
              <w:rPr>
                <w:b/>
                <w:sz w:val="22"/>
                <w:szCs w:val="22"/>
              </w:rPr>
            </w:pPr>
            <w:r>
              <w:rPr>
                <w:b/>
                <w:sz w:val="22"/>
                <w:szCs w:val="22"/>
              </w:rPr>
            </w:r>
          </w:p>
        </w:tc>
        <w:tc>
          <w:tcPr>
            <w:tcW w:w="5763" w:type="dxa"/>
            <w:tcBorders/>
            <w:vAlign w:val="center"/>
          </w:tcPr>
          <w:p>
            <w:pPr>
              <w:pStyle w:val="Default"/>
              <w:widowControl/>
              <w:suppressAutoHyphens w:val="true"/>
              <w:spacing w:before="120" w:after="120"/>
              <w:jc w:val="left"/>
              <w:rPr>
                <w:rFonts w:ascii="Calibri" w:hAnsi="Calibri" w:cs="Calibri"/>
                <w:bCs/>
                <w:color w:val="auto"/>
                <w:sz w:val="22"/>
                <w:szCs w:val="22"/>
              </w:rPr>
            </w:pPr>
            <w:r>
              <w:rPr>
                <w:rFonts w:eastAsia="Calibri" w:cs="Calibri"/>
                <w:kern w:val="0"/>
                <w:sz w:val="24"/>
                <w:szCs w:val="24"/>
                <w:lang w:val="tr-TR" w:eastAsia="en-US" w:bidi="ar-SA"/>
              </w:rPr>
              <w:t>Seyran Koltuk’un</w:t>
            </w:r>
            <w:r>
              <w:rPr>
                <w:rFonts w:eastAsia="Calibri"/>
                <w:kern w:val="0"/>
                <w:sz w:val="22"/>
                <w:szCs w:val="22"/>
                <w:lang w:val="tr-TR" w:eastAsia="en-US" w:bidi="ar-SA"/>
              </w:rPr>
              <w:t xml:space="preserve"> gelişim ve yedekleme planlamaları faaliyetlerine destek olunması</w:t>
            </w:r>
          </w:p>
        </w:tc>
      </w:tr>
      <w:tr>
        <w:trPr>
          <w:trHeight w:val="1799" w:hRule="atLeast"/>
        </w:trPr>
        <w:tc>
          <w:tcPr>
            <w:tcW w:w="5070" w:type="dxa"/>
            <w:vMerge w:val="continue"/>
            <w:tcBorders/>
            <w:vAlign w:val="center"/>
          </w:tcPr>
          <w:p>
            <w:pPr>
              <w:pStyle w:val="Default"/>
              <w:widowControl/>
              <w:suppressAutoHyphens w:val="true"/>
              <w:spacing w:before="0" w:after="240"/>
              <w:jc w:val="left"/>
              <w:rPr>
                <w:b/>
                <w:sz w:val="22"/>
                <w:szCs w:val="22"/>
              </w:rPr>
            </w:pPr>
            <w:r>
              <w:rPr>
                <w:b/>
                <w:sz w:val="22"/>
                <w:szCs w:val="22"/>
              </w:rPr>
            </w:r>
          </w:p>
        </w:tc>
        <w:tc>
          <w:tcPr>
            <w:tcW w:w="5763" w:type="dxa"/>
            <w:tcBorders/>
            <w:vAlign w:val="center"/>
          </w:tcPr>
          <w:p>
            <w:pPr>
              <w:pStyle w:val="Default"/>
              <w:widowControl/>
              <w:suppressAutoHyphens w:val="true"/>
              <w:spacing w:before="120" w:after="120"/>
              <w:jc w:val="left"/>
              <w:rPr>
                <w:rFonts w:ascii="Calibri" w:hAnsi="Calibri" w:cs="Calibri"/>
                <w:bCs/>
                <w:color w:val="auto"/>
                <w:sz w:val="22"/>
                <w:szCs w:val="22"/>
              </w:rPr>
            </w:pPr>
            <w:r>
              <w:rPr>
                <w:rFonts w:eastAsia="Calibri" w:cs="Calibri"/>
                <w:kern w:val="0"/>
                <w:sz w:val="24"/>
                <w:szCs w:val="24"/>
                <w:lang w:val="tr-TR" w:eastAsia="en-US" w:bidi="ar-SA"/>
              </w:rPr>
              <w:t xml:space="preserve">Seyran Koltuk </w:t>
            </w:r>
            <w:r>
              <w:rPr>
                <w:rFonts w:eastAsia="Calibri"/>
                <w:kern w:val="0"/>
                <w:sz w:val="22"/>
                <w:szCs w:val="22"/>
                <w:lang w:val="tr-TR" w:eastAsia="en-US" w:bidi="ar-SA"/>
              </w:rPr>
              <w:t>içerisinde personel ve yöneticilerin atama ve terfi süreçlerinin yönetimine destek olunması</w:t>
            </w:r>
          </w:p>
        </w:tc>
      </w:tr>
      <w:tr>
        <w:trPr>
          <w:trHeight w:val="737" w:hRule="atLeast"/>
        </w:trPr>
        <w:tc>
          <w:tcPr>
            <w:tcW w:w="5070" w:type="dxa"/>
            <w:vMerge w:val="restart"/>
            <w:tcBorders/>
            <w:vAlign w:val="center"/>
          </w:tcPr>
          <w:p>
            <w:pPr>
              <w:pStyle w:val="Default"/>
              <w:widowControl/>
              <w:suppressAutoHyphens w:val="true"/>
              <w:spacing w:before="0" w:after="240"/>
              <w:jc w:val="left"/>
              <w:rPr>
                <w:rFonts w:ascii="Calibri" w:hAnsi="Calibri" w:cs="Calibri"/>
                <w:b/>
                <w:bCs/>
                <w:color w:val="auto"/>
                <w:sz w:val="22"/>
                <w:szCs w:val="22"/>
              </w:rPr>
            </w:pPr>
            <w:r>
              <w:rPr>
                <w:rFonts w:eastAsia="Calibri" w:cs="Calibri"/>
                <w:b/>
                <w:kern w:val="0"/>
                <w:sz w:val="24"/>
                <w:szCs w:val="24"/>
                <w:lang w:val="tr-TR" w:eastAsia="en-US" w:bidi="ar-SA"/>
              </w:rPr>
              <w:t>Seyran Koltuk ‘u</w:t>
            </w:r>
            <w:r>
              <w:rPr>
                <w:rFonts w:eastAsia="Calibri"/>
                <w:b/>
                <w:kern w:val="0"/>
                <w:sz w:val="22"/>
                <w:szCs w:val="22"/>
                <w:lang w:val="tr-TR" w:eastAsia="en-US" w:bidi="ar-SA"/>
              </w:rPr>
              <w:t>n  İtibarının Ticari Yaşam ve Tüketiciler Üzerinde Uyandırdığı Güvenin Korunması</w:t>
            </w:r>
          </w:p>
        </w:tc>
        <w:tc>
          <w:tcPr>
            <w:tcW w:w="5763" w:type="dxa"/>
            <w:tcBorders/>
            <w:vAlign w:val="center"/>
          </w:tcPr>
          <w:p>
            <w:pPr>
              <w:pStyle w:val="Default"/>
              <w:widowControl/>
              <w:suppressAutoHyphens w:val="true"/>
              <w:spacing w:before="120" w:after="120"/>
              <w:jc w:val="left"/>
              <w:rPr>
                <w:rFonts w:ascii="Calibri" w:hAnsi="Calibri" w:cs="Calibri"/>
                <w:bCs/>
                <w:color w:val="auto"/>
                <w:sz w:val="22"/>
                <w:szCs w:val="22"/>
              </w:rPr>
            </w:pPr>
            <w:r>
              <w:rPr>
                <w:rFonts w:eastAsia="Calibri" w:cs="Calibri"/>
                <w:kern w:val="0"/>
                <w:sz w:val="24"/>
                <w:szCs w:val="24"/>
                <w:lang w:val="tr-TR" w:eastAsia="en-US" w:bidi="ar-SA"/>
              </w:rPr>
              <w:t>Seyran Koltuk</w:t>
            </w:r>
            <w:r>
              <w:rPr>
                <w:rFonts w:eastAsia="Calibri"/>
                <w:kern w:val="0"/>
                <w:sz w:val="22"/>
                <w:szCs w:val="22"/>
                <w:lang w:val="tr-TR" w:eastAsia="en-US" w:bidi="ar-SA"/>
              </w:rPr>
              <w:t xml:space="preserve"> Değerlerinin İtibarının Korunmasına Yönelik Çalışmaların Gerçekleştirilmesi</w:t>
            </w:r>
          </w:p>
        </w:tc>
      </w:tr>
      <w:tr>
        <w:trPr>
          <w:trHeight w:val="255" w:hRule="atLeast"/>
        </w:trPr>
        <w:tc>
          <w:tcPr>
            <w:tcW w:w="5070" w:type="dxa"/>
            <w:vMerge w:val="continue"/>
            <w:tcBorders/>
            <w:vAlign w:val="center"/>
          </w:tcPr>
          <w:p>
            <w:pPr>
              <w:pStyle w:val="Default"/>
              <w:widowControl/>
              <w:suppressAutoHyphens w:val="true"/>
              <w:spacing w:before="0" w:after="240"/>
              <w:jc w:val="left"/>
              <w:rPr>
                <w:b/>
                <w:sz w:val="22"/>
                <w:szCs w:val="22"/>
              </w:rPr>
            </w:pPr>
            <w:r>
              <w:rPr>
                <w:b/>
                <w:sz w:val="22"/>
                <w:szCs w:val="22"/>
              </w:rPr>
            </w:r>
          </w:p>
        </w:tc>
        <w:tc>
          <w:tcPr>
            <w:tcW w:w="5763" w:type="dxa"/>
            <w:tcBorders/>
            <w:vAlign w:val="center"/>
          </w:tcPr>
          <w:p>
            <w:pPr>
              <w:pStyle w:val="Default"/>
              <w:widowControl/>
              <w:suppressAutoHyphens w:val="true"/>
              <w:spacing w:before="120" w:after="120"/>
              <w:jc w:val="left"/>
              <w:rPr>
                <w:rFonts w:ascii="Calibri" w:hAnsi="Calibri" w:cs="Calibri"/>
                <w:bCs/>
                <w:color w:val="auto"/>
                <w:sz w:val="22"/>
                <w:szCs w:val="22"/>
              </w:rPr>
            </w:pPr>
            <w:r>
              <w:rPr>
                <w:rFonts w:eastAsia="Calibri" w:cs="Calibri"/>
                <w:kern w:val="0"/>
                <w:sz w:val="24"/>
                <w:szCs w:val="24"/>
                <w:lang w:val="tr-TR" w:eastAsia="en-US" w:bidi="ar-SA"/>
              </w:rPr>
              <w:t>Seyran Koltuk</w:t>
            </w:r>
            <w:r>
              <w:rPr>
                <w:rFonts w:eastAsia="Calibri"/>
                <w:kern w:val="0"/>
                <w:sz w:val="22"/>
                <w:szCs w:val="22"/>
                <w:lang w:val="tr-TR" w:eastAsia="en-US" w:bidi="ar-SA"/>
              </w:rPr>
              <w:t xml:space="preserve"> Müşterisi Talep ve/veya Şikayetlerinin Takibi</w:t>
            </w:r>
          </w:p>
        </w:tc>
      </w:tr>
      <w:tr>
        <w:trPr>
          <w:trHeight w:val="965" w:hRule="atLeast"/>
        </w:trPr>
        <w:tc>
          <w:tcPr>
            <w:tcW w:w="5070" w:type="dxa"/>
            <w:vMerge w:val="continue"/>
            <w:tcBorders/>
            <w:vAlign w:val="center"/>
          </w:tcPr>
          <w:p>
            <w:pPr>
              <w:pStyle w:val="Default"/>
              <w:widowControl/>
              <w:suppressAutoHyphens w:val="true"/>
              <w:spacing w:before="0" w:after="240"/>
              <w:jc w:val="left"/>
              <w:rPr>
                <w:b/>
                <w:sz w:val="22"/>
                <w:szCs w:val="22"/>
              </w:rPr>
            </w:pPr>
            <w:r>
              <w:rPr>
                <w:b/>
                <w:sz w:val="22"/>
                <w:szCs w:val="22"/>
              </w:rPr>
            </w:r>
          </w:p>
        </w:tc>
        <w:tc>
          <w:tcPr>
            <w:tcW w:w="5763" w:type="dxa"/>
            <w:tcBorders/>
            <w:vAlign w:val="center"/>
          </w:tcPr>
          <w:p>
            <w:pPr>
              <w:pStyle w:val="Default"/>
              <w:widowControl/>
              <w:suppressAutoHyphens w:val="true"/>
              <w:spacing w:before="120" w:after="120"/>
              <w:jc w:val="left"/>
              <w:rPr>
                <w:rFonts w:ascii="Calibri" w:hAnsi="Calibri" w:cs="Calibri"/>
                <w:bCs/>
                <w:color w:val="auto"/>
                <w:sz w:val="22"/>
                <w:szCs w:val="22"/>
              </w:rPr>
            </w:pPr>
            <w:r>
              <w:rPr>
                <w:rFonts w:eastAsia="Calibri"/>
                <w:kern w:val="0"/>
                <w:sz w:val="22"/>
                <w:szCs w:val="22"/>
                <w:lang w:val="tr-TR" w:eastAsia="en-US" w:bidi="ar-SA"/>
              </w:rPr>
              <w:t xml:space="preserve">Kurumsal Sosyal Sorumluluk ve/veya Sivil </w:t>
            </w:r>
            <w:r>
              <w:rPr>
                <w:rFonts w:eastAsia="Calibri" w:cs="Calibri"/>
                <w:kern w:val="0"/>
                <w:sz w:val="24"/>
                <w:szCs w:val="24"/>
                <w:lang w:val="tr-TR" w:eastAsia="en-US" w:bidi="ar-SA"/>
              </w:rPr>
              <w:t>Seyran Koltuk</w:t>
            </w:r>
            <w:r>
              <w:rPr>
                <w:rFonts w:eastAsia="Calibri"/>
                <w:kern w:val="0"/>
                <w:sz w:val="22"/>
                <w:szCs w:val="22"/>
                <w:lang w:val="tr-TR" w:eastAsia="en-US" w:bidi="ar-SA"/>
              </w:rPr>
              <w:t xml:space="preserve"> Faaliyetlerinin Planlanması ve/veya İcrası</w:t>
            </w:r>
          </w:p>
        </w:tc>
      </w:tr>
      <w:tr>
        <w:trPr>
          <w:trHeight w:val="755" w:hRule="atLeast"/>
        </w:trPr>
        <w:tc>
          <w:tcPr>
            <w:tcW w:w="5070" w:type="dxa"/>
            <w:vMerge w:val="continue"/>
            <w:tcBorders/>
            <w:vAlign w:val="center"/>
          </w:tcPr>
          <w:p>
            <w:pPr>
              <w:pStyle w:val="Default"/>
              <w:widowControl/>
              <w:suppressAutoHyphens w:val="true"/>
              <w:spacing w:before="0" w:after="240"/>
              <w:jc w:val="left"/>
              <w:rPr>
                <w:b/>
                <w:sz w:val="22"/>
                <w:szCs w:val="22"/>
              </w:rPr>
            </w:pPr>
            <w:r>
              <w:rPr>
                <w:b/>
                <w:sz w:val="22"/>
                <w:szCs w:val="22"/>
              </w:rPr>
            </w:r>
          </w:p>
        </w:tc>
        <w:tc>
          <w:tcPr>
            <w:tcW w:w="5763" w:type="dxa"/>
            <w:tcBorders/>
            <w:vAlign w:val="center"/>
          </w:tcPr>
          <w:p>
            <w:pPr>
              <w:pStyle w:val="Default"/>
              <w:widowControl/>
              <w:suppressAutoHyphens w:val="true"/>
              <w:spacing w:before="120" w:after="120"/>
              <w:jc w:val="left"/>
              <w:rPr>
                <w:rFonts w:ascii="Calibri" w:hAnsi="Calibri" w:cs="Calibri"/>
                <w:bCs/>
                <w:color w:val="auto"/>
                <w:sz w:val="22"/>
                <w:szCs w:val="22"/>
              </w:rPr>
            </w:pPr>
            <w:r>
              <w:rPr>
                <w:rFonts w:eastAsia="Calibri" w:cs="Calibri"/>
                <w:kern w:val="0"/>
                <w:sz w:val="24"/>
                <w:szCs w:val="24"/>
                <w:lang w:val="tr-TR" w:eastAsia="en-US" w:bidi="ar-SA"/>
              </w:rPr>
              <w:t>Seyran Koltuk</w:t>
            </w:r>
            <w:r>
              <w:rPr>
                <w:rFonts w:eastAsia="Calibri"/>
                <w:kern w:val="0"/>
                <w:sz w:val="22"/>
                <w:szCs w:val="22"/>
                <w:lang w:val="tr-TR" w:eastAsia="en-US" w:bidi="ar-SA"/>
              </w:rPr>
              <w:t xml:space="preserve"> Çalışanları Bağlılık ve Memnuniyetine Yönelik Süreçlerin Planlanması ve İcrası</w:t>
            </w:r>
          </w:p>
        </w:tc>
      </w:tr>
      <w:tr>
        <w:trPr>
          <w:trHeight w:val="502" w:hRule="atLeast"/>
        </w:trPr>
        <w:tc>
          <w:tcPr>
            <w:tcW w:w="5070" w:type="dxa"/>
            <w:vMerge w:val="restart"/>
            <w:tcBorders/>
            <w:vAlign w:val="center"/>
          </w:tcPr>
          <w:p>
            <w:pPr>
              <w:pStyle w:val="Default"/>
              <w:widowControl/>
              <w:suppressAutoHyphens w:val="true"/>
              <w:spacing w:before="0" w:after="240"/>
              <w:jc w:val="left"/>
              <w:rPr>
                <w:b/>
                <w:sz w:val="22"/>
                <w:szCs w:val="22"/>
              </w:rPr>
            </w:pPr>
            <w:r>
              <w:rPr>
                <w:rFonts w:eastAsia="Calibri" w:cs="Calibri"/>
                <w:b/>
                <w:kern w:val="0"/>
                <w:sz w:val="24"/>
                <w:szCs w:val="24"/>
                <w:lang w:val="tr-TR" w:eastAsia="en-US" w:bidi="ar-SA"/>
              </w:rPr>
              <w:t>Seyran Koltuk’un</w:t>
            </w:r>
            <w:r>
              <w:rPr>
                <w:rFonts w:eastAsia="Calibri"/>
                <w:b/>
                <w:kern w:val="0"/>
                <w:sz w:val="22"/>
                <w:szCs w:val="22"/>
                <w:lang w:val="tr-TR" w:eastAsia="en-US" w:bidi="ar-SA"/>
              </w:rPr>
              <w:t xml:space="preserve"> ve </w:t>
            </w:r>
            <w:r>
              <w:rPr>
                <w:rFonts w:eastAsia="Calibri" w:cs="Calibri"/>
                <w:b/>
                <w:kern w:val="0"/>
                <w:sz w:val="24"/>
                <w:szCs w:val="24"/>
                <w:lang w:val="tr-TR" w:eastAsia="en-US" w:bidi="ar-SA"/>
              </w:rPr>
              <w:t>Seyran Koltuk’la</w:t>
            </w:r>
            <w:r>
              <w:rPr>
                <w:rFonts w:eastAsia="Calibri"/>
                <w:b/>
                <w:kern w:val="0"/>
                <w:sz w:val="22"/>
                <w:szCs w:val="22"/>
                <w:lang w:val="tr-TR" w:eastAsia="en-US" w:bidi="ar-SA"/>
              </w:rPr>
              <w:t xml:space="preserve"> iş ilişkisi içerisinde olan ilgili kişilerin hukuki, teknik ve ticari-iş güvenliğinin temin</w:t>
            </w:r>
          </w:p>
        </w:tc>
        <w:tc>
          <w:tcPr>
            <w:tcW w:w="5763" w:type="dxa"/>
            <w:tcBorders/>
            <w:vAlign w:val="center"/>
          </w:tcPr>
          <w:p>
            <w:pPr>
              <w:pStyle w:val="Default"/>
              <w:widowControl/>
              <w:suppressAutoHyphens w:val="true"/>
              <w:spacing w:before="120" w:after="120"/>
              <w:jc w:val="left"/>
              <w:rPr>
                <w:sz w:val="22"/>
                <w:szCs w:val="22"/>
              </w:rPr>
            </w:pPr>
            <w:r>
              <w:rPr>
                <w:rFonts w:eastAsia="Calibri"/>
                <w:kern w:val="0"/>
                <w:sz w:val="22"/>
                <w:szCs w:val="22"/>
                <w:lang w:val="tr-TR" w:eastAsia="en-US" w:bidi="ar-SA"/>
              </w:rPr>
              <w:t>Hukuk İşlerinin Takibi</w:t>
            </w:r>
          </w:p>
        </w:tc>
      </w:tr>
      <w:tr>
        <w:trPr>
          <w:trHeight w:val="566" w:hRule="atLeast"/>
        </w:trPr>
        <w:tc>
          <w:tcPr>
            <w:tcW w:w="5070" w:type="dxa"/>
            <w:vMerge w:val="continue"/>
            <w:tcBorders/>
            <w:vAlign w:val="center"/>
          </w:tcPr>
          <w:p>
            <w:pPr>
              <w:pStyle w:val="Default"/>
              <w:widowControl/>
              <w:suppressAutoHyphens w:val="true"/>
              <w:spacing w:before="0" w:after="240"/>
              <w:jc w:val="left"/>
              <w:rPr>
                <w:b/>
              </w:rPr>
            </w:pPr>
            <w:r>
              <w:rPr>
                <w:b/>
              </w:rPr>
            </w:r>
          </w:p>
        </w:tc>
        <w:tc>
          <w:tcPr>
            <w:tcW w:w="5763" w:type="dxa"/>
            <w:tcBorders/>
            <w:vAlign w:val="center"/>
          </w:tcPr>
          <w:p>
            <w:pPr>
              <w:pStyle w:val="Default"/>
              <w:widowControl/>
              <w:suppressAutoHyphens w:val="true"/>
              <w:spacing w:before="120" w:after="120"/>
              <w:jc w:val="left"/>
              <w:rPr>
                <w:sz w:val="22"/>
                <w:szCs w:val="22"/>
              </w:rPr>
            </w:pPr>
            <w:r>
              <w:rPr>
                <w:rFonts w:eastAsia="Calibri"/>
                <w:kern w:val="0"/>
                <w:sz w:val="22"/>
                <w:szCs w:val="22"/>
                <w:lang w:val="tr-TR" w:eastAsia="en-US" w:bidi="ar-SA"/>
              </w:rPr>
              <w:t>Ziyaretçi Takibi</w:t>
            </w:r>
          </w:p>
        </w:tc>
      </w:tr>
      <w:tr>
        <w:trPr>
          <w:trHeight w:val="236" w:hRule="atLeast"/>
        </w:trPr>
        <w:tc>
          <w:tcPr>
            <w:tcW w:w="5070" w:type="dxa"/>
            <w:vMerge w:val="continue"/>
            <w:tcBorders/>
            <w:vAlign w:val="center"/>
          </w:tcPr>
          <w:p>
            <w:pPr>
              <w:pStyle w:val="Default"/>
              <w:widowControl/>
              <w:suppressAutoHyphens w:val="true"/>
              <w:spacing w:before="0" w:after="240"/>
              <w:jc w:val="left"/>
              <w:rPr>
                <w:b/>
              </w:rPr>
            </w:pPr>
            <w:r>
              <w:rPr>
                <w:b/>
              </w:rPr>
            </w:r>
          </w:p>
        </w:tc>
        <w:tc>
          <w:tcPr>
            <w:tcW w:w="5763" w:type="dxa"/>
            <w:tcBorders/>
            <w:vAlign w:val="center"/>
          </w:tcPr>
          <w:p>
            <w:pPr>
              <w:pStyle w:val="Default"/>
              <w:widowControl/>
              <w:suppressAutoHyphens w:val="true"/>
              <w:spacing w:before="120" w:after="120"/>
              <w:jc w:val="left"/>
              <w:rPr>
                <w:sz w:val="22"/>
                <w:szCs w:val="22"/>
              </w:rPr>
            </w:pPr>
            <w:r>
              <w:rPr>
                <w:rFonts w:eastAsia="Calibri" w:cs="Calibri"/>
                <w:kern w:val="0"/>
                <w:sz w:val="24"/>
                <w:szCs w:val="24"/>
                <w:lang w:val="tr-TR" w:eastAsia="en-US" w:bidi="ar-SA"/>
              </w:rPr>
              <w:t>Seyran Koltuk</w:t>
            </w:r>
            <w:r>
              <w:rPr>
                <w:rFonts w:eastAsia="Calibri"/>
                <w:kern w:val="0"/>
                <w:sz w:val="22"/>
                <w:szCs w:val="22"/>
                <w:lang w:val="tr-TR" w:eastAsia="en-US" w:bidi="ar-SA"/>
              </w:rPr>
              <w:t xml:space="preserve"> Faaliyetlerinin </w:t>
            </w:r>
            <w:r>
              <w:rPr>
                <w:rFonts w:eastAsia="Calibri" w:cs="Calibri"/>
                <w:kern w:val="0"/>
                <w:sz w:val="24"/>
                <w:szCs w:val="24"/>
                <w:lang w:val="tr-TR" w:eastAsia="en-US" w:bidi="ar-SA"/>
              </w:rPr>
              <w:t>Seyran Koltuk</w:t>
            </w:r>
            <w:r>
              <w:rPr>
                <w:rFonts w:eastAsia="Calibri"/>
                <w:kern w:val="0"/>
                <w:sz w:val="22"/>
                <w:szCs w:val="22"/>
                <w:lang w:val="tr-TR" w:eastAsia="en-US" w:bidi="ar-SA"/>
              </w:rPr>
              <w:t xml:space="preserve"> Prosedürleri ve/veya İlgili Mevzuata Uygun Olarak Yürütülmesinin Temini İçin Gerekli Operasyonel Faaliyetlerinin Planlanması ve İcrası</w:t>
            </w:r>
          </w:p>
        </w:tc>
      </w:tr>
      <w:tr>
        <w:trPr>
          <w:trHeight w:val="270" w:hRule="atLeast"/>
        </w:trPr>
        <w:tc>
          <w:tcPr>
            <w:tcW w:w="5070" w:type="dxa"/>
            <w:vMerge w:val="continue"/>
            <w:tcBorders/>
            <w:vAlign w:val="center"/>
          </w:tcPr>
          <w:p>
            <w:pPr>
              <w:pStyle w:val="Default"/>
              <w:widowControl/>
              <w:suppressAutoHyphens w:val="true"/>
              <w:spacing w:before="0" w:after="240"/>
              <w:jc w:val="left"/>
              <w:rPr>
                <w:b/>
              </w:rPr>
            </w:pPr>
            <w:r>
              <w:rPr>
                <w:b/>
              </w:rPr>
            </w:r>
          </w:p>
        </w:tc>
        <w:tc>
          <w:tcPr>
            <w:tcW w:w="5763" w:type="dxa"/>
            <w:tcBorders/>
            <w:vAlign w:val="center"/>
          </w:tcPr>
          <w:p>
            <w:pPr>
              <w:pStyle w:val="Default"/>
              <w:widowControl/>
              <w:suppressAutoHyphens w:val="true"/>
              <w:spacing w:before="120" w:after="120"/>
              <w:jc w:val="left"/>
              <w:rPr>
                <w:sz w:val="22"/>
                <w:szCs w:val="22"/>
              </w:rPr>
            </w:pPr>
            <w:r>
              <w:rPr>
                <w:rFonts w:eastAsia="Calibri" w:cs="Calibri"/>
                <w:kern w:val="0"/>
                <w:sz w:val="24"/>
                <w:szCs w:val="24"/>
                <w:lang w:val="tr-TR" w:eastAsia="en-US" w:bidi="ar-SA"/>
              </w:rPr>
              <w:t>Seyran Koltuk</w:t>
            </w:r>
            <w:r>
              <w:rPr>
                <w:rFonts w:eastAsia="Calibri"/>
                <w:kern w:val="0"/>
                <w:sz w:val="22"/>
                <w:szCs w:val="22"/>
                <w:lang w:val="tr-TR" w:eastAsia="en-US" w:bidi="ar-SA"/>
              </w:rPr>
              <w:t xml:space="preserve"> Demirbaşlarının ve/veya Kaynaklarının Güvenliğinin Temini</w:t>
            </w:r>
          </w:p>
        </w:tc>
      </w:tr>
      <w:tr>
        <w:trPr>
          <w:trHeight w:val="236" w:hRule="atLeast"/>
        </w:trPr>
        <w:tc>
          <w:tcPr>
            <w:tcW w:w="5070" w:type="dxa"/>
            <w:vMerge w:val="continue"/>
            <w:tcBorders/>
            <w:vAlign w:val="center"/>
          </w:tcPr>
          <w:p>
            <w:pPr>
              <w:pStyle w:val="Default"/>
              <w:widowControl/>
              <w:suppressAutoHyphens w:val="true"/>
              <w:spacing w:before="0" w:after="240"/>
              <w:jc w:val="left"/>
              <w:rPr>
                <w:b/>
              </w:rPr>
            </w:pPr>
            <w:r>
              <w:rPr>
                <w:b/>
              </w:rPr>
            </w:r>
          </w:p>
        </w:tc>
        <w:tc>
          <w:tcPr>
            <w:tcW w:w="5763" w:type="dxa"/>
            <w:tcBorders/>
            <w:vAlign w:val="center"/>
          </w:tcPr>
          <w:p>
            <w:pPr>
              <w:pStyle w:val="Default"/>
              <w:widowControl/>
              <w:suppressAutoHyphens w:val="true"/>
              <w:spacing w:before="120" w:after="120"/>
              <w:jc w:val="left"/>
              <w:rPr>
                <w:sz w:val="22"/>
                <w:szCs w:val="22"/>
              </w:rPr>
            </w:pPr>
            <w:r>
              <w:rPr>
                <w:rFonts w:eastAsia="Calibri" w:cs="Calibri"/>
                <w:kern w:val="0"/>
                <w:sz w:val="24"/>
                <w:szCs w:val="24"/>
                <w:lang w:val="tr-TR" w:eastAsia="en-US" w:bidi="ar-SA"/>
              </w:rPr>
              <w:t>Seyran Koltuk</w:t>
            </w:r>
            <w:r>
              <w:rPr>
                <w:rFonts w:eastAsia="Calibri"/>
                <w:kern w:val="0"/>
                <w:sz w:val="22"/>
                <w:szCs w:val="22"/>
                <w:lang w:val="tr-TR" w:eastAsia="en-US" w:bidi="ar-SA"/>
              </w:rPr>
              <w:t xml:space="preserve"> Operasyonlarının Güvenliğinin Temini</w:t>
            </w:r>
          </w:p>
        </w:tc>
      </w:tr>
      <w:tr>
        <w:trPr>
          <w:trHeight w:val="315" w:hRule="atLeast"/>
        </w:trPr>
        <w:tc>
          <w:tcPr>
            <w:tcW w:w="5070" w:type="dxa"/>
            <w:vMerge w:val="continue"/>
            <w:tcBorders/>
            <w:vAlign w:val="center"/>
          </w:tcPr>
          <w:p>
            <w:pPr>
              <w:pStyle w:val="Default"/>
              <w:widowControl/>
              <w:suppressAutoHyphens w:val="true"/>
              <w:spacing w:before="0" w:after="240"/>
              <w:jc w:val="left"/>
              <w:rPr>
                <w:b/>
              </w:rPr>
            </w:pPr>
            <w:r>
              <w:rPr>
                <w:b/>
              </w:rPr>
            </w:r>
          </w:p>
        </w:tc>
        <w:tc>
          <w:tcPr>
            <w:tcW w:w="5763" w:type="dxa"/>
            <w:tcBorders/>
            <w:vAlign w:val="center"/>
          </w:tcPr>
          <w:p>
            <w:pPr>
              <w:pStyle w:val="Default"/>
              <w:widowControl/>
              <w:suppressAutoHyphens w:val="true"/>
              <w:spacing w:before="120" w:after="120"/>
              <w:jc w:val="left"/>
              <w:rPr>
                <w:sz w:val="22"/>
                <w:szCs w:val="22"/>
              </w:rPr>
            </w:pPr>
            <w:r>
              <w:rPr>
                <w:rFonts w:eastAsia="Calibri"/>
                <w:kern w:val="0"/>
                <w:sz w:val="22"/>
                <w:szCs w:val="22"/>
                <w:lang w:val="tr-TR" w:eastAsia="en-US" w:bidi="ar-SA"/>
              </w:rPr>
              <w:t>Yetkili Kuruluşlara Mevzuattan Kaynaklı Bilgi Verilmesi</w:t>
            </w:r>
          </w:p>
        </w:tc>
      </w:tr>
      <w:tr>
        <w:trPr>
          <w:trHeight w:val="315" w:hRule="atLeast"/>
        </w:trPr>
        <w:tc>
          <w:tcPr>
            <w:tcW w:w="5070" w:type="dxa"/>
            <w:vMerge w:val="continue"/>
            <w:tcBorders/>
            <w:vAlign w:val="center"/>
          </w:tcPr>
          <w:p>
            <w:pPr>
              <w:pStyle w:val="Default"/>
              <w:widowControl/>
              <w:suppressAutoHyphens w:val="true"/>
              <w:spacing w:before="0" w:after="240"/>
              <w:jc w:val="left"/>
              <w:rPr>
                <w:b/>
              </w:rPr>
            </w:pPr>
            <w:r>
              <w:rPr>
                <w:b/>
              </w:rPr>
            </w:r>
          </w:p>
        </w:tc>
        <w:tc>
          <w:tcPr>
            <w:tcW w:w="5763" w:type="dxa"/>
            <w:tcBorders/>
            <w:vAlign w:val="center"/>
          </w:tcPr>
          <w:p>
            <w:pPr>
              <w:pStyle w:val="Default"/>
              <w:widowControl/>
              <w:suppressAutoHyphens w:val="true"/>
              <w:spacing w:before="120" w:after="120"/>
              <w:jc w:val="left"/>
              <w:rPr>
                <w:sz w:val="22"/>
                <w:szCs w:val="22"/>
              </w:rPr>
            </w:pPr>
            <w:r>
              <w:rPr>
                <w:rFonts w:eastAsia="Calibri"/>
                <w:kern w:val="0"/>
                <w:sz w:val="22"/>
                <w:szCs w:val="22"/>
                <w:lang w:val="tr-TR" w:eastAsia="en-US" w:bidi="ar-SA"/>
              </w:rPr>
              <w:t>Şirketler ve Ortaklık Hukuku İşlemlerinin Gerçekleştirilmesi</w:t>
            </w:r>
          </w:p>
        </w:tc>
      </w:tr>
      <w:tr>
        <w:trPr>
          <w:trHeight w:val="225" w:hRule="atLeast"/>
        </w:trPr>
        <w:tc>
          <w:tcPr>
            <w:tcW w:w="5070" w:type="dxa"/>
            <w:vMerge w:val="continue"/>
            <w:tcBorders/>
            <w:vAlign w:val="center"/>
          </w:tcPr>
          <w:p>
            <w:pPr>
              <w:pStyle w:val="Default"/>
              <w:widowControl/>
              <w:suppressAutoHyphens w:val="true"/>
              <w:spacing w:before="0" w:after="240"/>
              <w:jc w:val="left"/>
              <w:rPr>
                <w:b/>
              </w:rPr>
            </w:pPr>
            <w:r>
              <w:rPr>
                <w:b/>
              </w:rPr>
            </w:r>
          </w:p>
        </w:tc>
        <w:tc>
          <w:tcPr>
            <w:tcW w:w="5763" w:type="dxa"/>
            <w:tcBorders/>
            <w:vAlign w:val="center"/>
          </w:tcPr>
          <w:p>
            <w:pPr>
              <w:pStyle w:val="Default"/>
              <w:widowControl/>
              <w:suppressAutoHyphens w:val="true"/>
              <w:spacing w:before="120" w:after="120"/>
              <w:jc w:val="left"/>
              <w:rPr>
                <w:sz w:val="22"/>
                <w:szCs w:val="22"/>
              </w:rPr>
            </w:pPr>
            <w:r>
              <w:rPr>
                <w:rFonts w:eastAsia="Calibri" w:cs="Calibri"/>
                <w:kern w:val="0"/>
                <w:sz w:val="24"/>
                <w:szCs w:val="24"/>
                <w:lang w:val="tr-TR" w:eastAsia="en-US" w:bidi="ar-SA"/>
              </w:rPr>
              <w:t>Seyran Koltuk’un</w:t>
            </w:r>
            <w:r>
              <w:rPr>
                <w:rFonts w:eastAsia="Calibri"/>
                <w:kern w:val="0"/>
                <w:sz w:val="22"/>
                <w:szCs w:val="22"/>
                <w:lang w:val="tr-TR" w:eastAsia="en-US" w:bidi="ar-SA"/>
              </w:rPr>
              <w:t>,  Seyran Koltuk ve Ortaklık Hukuku İşlemlerinin Gerçekleştirilmesi Konusunda Destek Olunması</w:t>
            </w:r>
          </w:p>
        </w:tc>
      </w:tr>
      <w:tr>
        <w:trPr>
          <w:trHeight w:val="285" w:hRule="atLeast"/>
        </w:trPr>
        <w:tc>
          <w:tcPr>
            <w:tcW w:w="5070" w:type="dxa"/>
            <w:vMerge w:val="continue"/>
            <w:tcBorders/>
            <w:vAlign w:val="center"/>
          </w:tcPr>
          <w:p>
            <w:pPr>
              <w:pStyle w:val="Default"/>
              <w:widowControl/>
              <w:suppressAutoHyphens w:val="true"/>
              <w:spacing w:before="0" w:after="240"/>
              <w:jc w:val="left"/>
              <w:rPr>
                <w:b/>
              </w:rPr>
            </w:pPr>
            <w:r>
              <w:rPr>
                <w:b/>
              </w:rPr>
            </w:r>
          </w:p>
        </w:tc>
        <w:tc>
          <w:tcPr>
            <w:tcW w:w="5763" w:type="dxa"/>
            <w:tcBorders/>
            <w:vAlign w:val="center"/>
          </w:tcPr>
          <w:p>
            <w:pPr>
              <w:pStyle w:val="Default"/>
              <w:widowControl/>
              <w:suppressAutoHyphens w:val="true"/>
              <w:spacing w:before="120" w:after="120"/>
              <w:jc w:val="left"/>
              <w:rPr>
                <w:sz w:val="22"/>
                <w:szCs w:val="22"/>
              </w:rPr>
            </w:pPr>
            <w:r>
              <w:rPr>
                <w:rFonts w:eastAsia="Calibri"/>
                <w:kern w:val="0"/>
                <w:sz w:val="22"/>
                <w:szCs w:val="22"/>
                <w:lang w:val="tr-TR" w:eastAsia="en-US" w:bidi="ar-SA"/>
              </w:rPr>
              <w:t>Verilerin Doğru ve Güncel Olmasının Sağlanması</w:t>
            </w:r>
          </w:p>
        </w:tc>
      </w:tr>
      <w:tr>
        <w:trPr>
          <w:trHeight w:val="330" w:hRule="atLeast"/>
        </w:trPr>
        <w:tc>
          <w:tcPr>
            <w:tcW w:w="5070" w:type="dxa"/>
            <w:vMerge w:val="continue"/>
            <w:tcBorders/>
            <w:vAlign w:val="center"/>
          </w:tcPr>
          <w:p>
            <w:pPr>
              <w:pStyle w:val="Default"/>
              <w:widowControl/>
              <w:suppressAutoHyphens w:val="true"/>
              <w:spacing w:before="0" w:after="240"/>
              <w:jc w:val="left"/>
              <w:rPr>
                <w:b/>
              </w:rPr>
            </w:pPr>
            <w:r>
              <w:rPr>
                <w:b/>
              </w:rPr>
            </w:r>
          </w:p>
        </w:tc>
        <w:tc>
          <w:tcPr>
            <w:tcW w:w="5763" w:type="dxa"/>
            <w:tcBorders/>
            <w:vAlign w:val="center"/>
          </w:tcPr>
          <w:p>
            <w:pPr>
              <w:pStyle w:val="Default"/>
              <w:widowControl/>
              <w:suppressAutoHyphens w:val="true"/>
              <w:spacing w:before="120" w:after="120"/>
              <w:jc w:val="left"/>
              <w:rPr>
                <w:sz w:val="22"/>
                <w:szCs w:val="22"/>
              </w:rPr>
            </w:pPr>
            <w:r>
              <w:rPr>
                <w:rFonts w:eastAsia="Calibri" w:cs="Calibri"/>
                <w:kern w:val="0"/>
                <w:sz w:val="24"/>
                <w:szCs w:val="24"/>
                <w:lang w:val="tr-TR" w:eastAsia="en-US" w:bidi="ar-SA"/>
              </w:rPr>
              <w:t>Seyran Koltuk</w:t>
            </w:r>
            <w:r>
              <w:rPr>
                <w:rFonts w:eastAsia="Calibri"/>
                <w:kern w:val="0"/>
                <w:sz w:val="22"/>
                <w:szCs w:val="22"/>
                <w:lang w:val="tr-TR" w:eastAsia="en-US" w:bidi="ar-SA"/>
              </w:rPr>
              <w:t xml:space="preserve"> Yerleşkeleri ve/veya Tesislerinin Güvenliğinin Temini</w:t>
            </w:r>
          </w:p>
        </w:tc>
      </w:tr>
      <w:tr>
        <w:trPr>
          <w:trHeight w:val="435" w:hRule="atLeast"/>
        </w:trPr>
        <w:tc>
          <w:tcPr>
            <w:tcW w:w="5070" w:type="dxa"/>
            <w:vMerge w:val="continue"/>
            <w:tcBorders/>
            <w:vAlign w:val="center"/>
          </w:tcPr>
          <w:p>
            <w:pPr>
              <w:pStyle w:val="Default"/>
              <w:widowControl/>
              <w:suppressAutoHyphens w:val="true"/>
              <w:spacing w:before="0" w:after="240"/>
              <w:jc w:val="left"/>
              <w:rPr>
                <w:b/>
              </w:rPr>
            </w:pPr>
            <w:r>
              <w:rPr>
                <w:b/>
              </w:rPr>
            </w:r>
          </w:p>
        </w:tc>
        <w:tc>
          <w:tcPr>
            <w:tcW w:w="5763" w:type="dxa"/>
            <w:tcBorders/>
            <w:vAlign w:val="center"/>
          </w:tcPr>
          <w:p>
            <w:pPr>
              <w:pStyle w:val="Default"/>
              <w:widowControl/>
              <w:suppressAutoHyphens w:val="true"/>
              <w:spacing w:before="120" w:after="120"/>
              <w:jc w:val="left"/>
              <w:rPr>
                <w:sz w:val="22"/>
                <w:szCs w:val="22"/>
              </w:rPr>
            </w:pPr>
            <w:r>
              <w:rPr>
                <w:rFonts w:eastAsia="Calibri"/>
                <w:kern w:val="0"/>
                <w:sz w:val="22"/>
                <w:szCs w:val="22"/>
                <w:lang w:val="tr-TR" w:eastAsia="en-US" w:bidi="ar-SA"/>
              </w:rPr>
              <w:t>Seyran Koltuk Denetim Faaliyetlerinin Planlanması ve İcrası</w:t>
            </w:r>
          </w:p>
        </w:tc>
      </w:tr>
      <w:tr>
        <w:trPr>
          <w:trHeight w:val="1563" w:hRule="atLeast"/>
        </w:trPr>
        <w:tc>
          <w:tcPr>
            <w:tcW w:w="5070" w:type="dxa"/>
            <w:vMerge w:val="restart"/>
            <w:tcBorders/>
            <w:vAlign w:val="center"/>
          </w:tcPr>
          <w:p>
            <w:pPr>
              <w:pStyle w:val="Default"/>
              <w:widowControl/>
              <w:suppressAutoHyphens w:val="true"/>
              <w:spacing w:before="0" w:after="240"/>
              <w:jc w:val="left"/>
              <w:rPr>
                <w:rFonts w:ascii="Calibri" w:hAnsi="Calibri" w:cs="Calibri"/>
                <w:b/>
                <w:bCs/>
                <w:color w:val="auto"/>
              </w:rPr>
            </w:pPr>
            <w:r>
              <w:rPr>
                <w:rFonts w:eastAsia="Calibri" w:cs="Calibri"/>
                <w:b/>
                <w:kern w:val="0"/>
                <w:sz w:val="24"/>
                <w:szCs w:val="24"/>
                <w:lang w:val="tr-TR" w:eastAsia="en-US" w:bidi="ar-SA"/>
              </w:rPr>
              <w:t>Seyran Koltuk’un</w:t>
            </w:r>
            <w:r>
              <w:rPr>
                <w:rFonts w:eastAsia="Calibri"/>
                <w:b/>
                <w:kern w:val="0"/>
                <w:lang w:val="tr-TR" w:eastAsia="en-US" w:bidi="ar-SA"/>
              </w:rPr>
              <w:t xml:space="preserve"> Denetim Faaliyetlerinin Planlanması ve İcrası</w:t>
            </w:r>
          </w:p>
        </w:tc>
        <w:tc>
          <w:tcPr>
            <w:tcW w:w="5763" w:type="dxa"/>
            <w:tcBorders/>
            <w:vAlign w:val="center"/>
          </w:tcPr>
          <w:p>
            <w:pPr>
              <w:pStyle w:val="Default"/>
              <w:widowControl/>
              <w:suppressAutoHyphens w:val="true"/>
              <w:spacing w:before="120" w:after="120"/>
              <w:jc w:val="left"/>
              <w:rPr>
                <w:rFonts w:ascii="Calibri" w:hAnsi="Calibri" w:cs="Calibri"/>
                <w:bCs/>
                <w:color w:val="auto"/>
                <w:sz w:val="22"/>
                <w:szCs w:val="22"/>
              </w:rPr>
            </w:pPr>
            <w:r>
              <w:rPr>
                <w:rFonts w:eastAsia="Calibri" w:cs="Calibri"/>
                <w:kern w:val="0"/>
                <w:sz w:val="24"/>
                <w:szCs w:val="24"/>
                <w:lang w:val="tr-TR" w:eastAsia="en-US" w:bidi="ar-SA"/>
              </w:rPr>
              <w:t xml:space="preserve">Seyran Koltuk’u </w:t>
            </w:r>
            <w:r>
              <w:rPr>
                <w:rFonts w:eastAsia="Calibri"/>
                <w:kern w:val="0"/>
                <w:sz w:val="22"/>
                <w:szCs w:val="22"/>
                <w:lang w:val="tr-TR" w:eastAsia="en-US" w:bidi="ar-SA"/>
              </w:rPr>
              <w:t>suistimal ihbar ve inceleme süreçlerine destek olunması</w:t>
            </w:r>
          </w:p>
        </w:tc>
      </w:tr>
      <w:tr>
        <w:trPr>
          <w:trHeight w:val="1053" w:hRule="atLeast"/>
        </w:trPr>
        <w:tc>
          <w:tcPr>
            <w:tcW w:w="5070" w:type="dxa"/>
            <w:vMerge w:val="continue"/>
            <w:tcBorders/>
          </w:tcPr>
          <w:p>
            <w:pPr>
              <w:pStyle w:val="Default"/>
              <w:widowControl/>
              <w:suppressAutoHyphens w:val="true"/>
              <w:spacing w:before="0" w:after="240"/>
              <w:jc w:val="both"/>
              <w:rPr>
                <w:rFonts w:eastAsia="Calibri"/>
                <w:kern w:val="0"/>
                <w:lang w:val="tr-TR" w:eastAsia="en-US" w:bidi="ar-SA"/>
              </w:rPr>
            </w:pPr>
            <w:r>
              <w:rPr>
                <w:rFonts w:eastAsia="Calibri"/>
                <w:kern w:val="0"/>
                <w:lang w:val="tr-TR" w:eastAsia="en-US" w:bidi="ar-SA"/>
              </w:rPr>
            </w:r>
          </w:p>
        </w:tc>
        <w:tc>
          <w:tcPr>
            <w:tcW w:w="5763" w:type="dxa"/>
            <w:tcBorders/>
            <w:vAlign w:val="center"/>
          </w:tcPr>
          <w:p>
            <w:pPr>
              <w:pStyle w:val="Default"/>
              <w:widowControl/>
              <w:suppressAutoHyphens w:val="true"/>
              <w:spacing w:before="120" w:after="120"/>
              <w:jc w:val="left"/>
              <w:rPr>
                <w:sz w:val="22"/>
                <w:szCs w:val="22"/>
              </w:rPr>
            </w:pPr>
            <w:r>
              <w:rPr>
                <w:rFonts w:eastAsia="Calibri" w:cs="Calibri"/>
                <w:kern w:val="0"/>
                <w:sz w:val="24"/>
                <w:szCs w:val="24"/>
                <w:lang w:val="tr-TR" w:eastAsia="en-US" w:bidi="ar-SA"/>
              </w:rPr>
              <w:t>Seyran Koltuk’un</w:t>
            </w:r>
            <w:r>
              <w:rPr>
                <w:rFonts w:eastAsia="Calibri"/>
                <w:kern w:val="0"/>
                <w:sz w:val="22"/>
                <w:szCs w:val="22"/>
                <w:lang w:val="tr-TR" w:eastAsia="en-US" w:bidi="ar-SA"/>
              </w:rPr>
              <w:t xml:space="preserve"> Faaliyetlerinin Mevzuata Uygun Olarak Yürütülmesinin Temini İçin Denetim Faaliyetlerinin Planlanması ve İcrası</w:t>
            </w:r>
          </w:p>
        </w:tc>
      </w:tr>
    </w:tbl>
    <w:p>
      <w:pPr>
        <w:pStyle w:val="Normal"/>
        <w:rPr/>
      </w:pPr>
      <w:r>
        <w:rPr/>
      </w:r>
    </w:p>
    <w:p>
      <w:pPr>
        <w:pStyle w:val="Title"/>
        <w:rPr>
          <w:rFonts w:ascii="Cambria" w:hAnsi="Cambria"/>
          <w:b/>
          <w:color w:themeColor="text1" w:val="000000"/>
          <w:sz w:val="24"/>
          <w:szCs w:val="24"/>
        </w:rPr>
      </w:pPr>
      <w:r>
        <w:rPr>
          <w:b/>
          <w:color w:themeColor="text1" w:val="000000"/>
          <w:sz w:val="24"/>
          <w:szCs w:val="24"/>
        </w:rPr>
      </w:r>
    </w:p>
    <w:p>
      <w:pPr>
        <w:pStyle w:val="Normal"/>
        <w:rPr/>
      </w:pPr>
      <w:r>
        <w:rPr/>
      </w:r>
    </w:p>
    <w:p>
      <w:pPr>
        <w:pStyle w:val="Normal"/>
        <w:rPr/>
      </w:pPr>
      <w:r>
        <w:rPr/>
      </w:r>
    </w:p>
    <w:p>
      <w:pPr>
        <w:pStyle w:val="Title"/>
        <w:rPr>
          <w:rFonts w:ascii="Cambria" w:hAnsi="Cambria"/>
          <w:b/>
          <w:color w:themeColor="text1" w:val="000000"/>
          <w:sz w:val="24"/>
          <w:szCs w:val="24"/>
        </w:rPr>
      </w:pPr>
      <w:r>
        <w:rPr>
          <w:b/>
          <w:color w:themeColor="text1" w:val="000000"/>
          <w:sz w:val="24"/>
          <w:szCs w:val="24"/>
        </w:rPr>
        <w:t>8. KİŞİSEL VERİLERİN KORUNMASINA İLİŞKİN HUSUSLAR</w:t>
      </w:r>
    </w:p>
    <w:p>
      <w:pPr>
        <w:pStyle w:val="Normal"/>
        <w:spacing w:before="240" w:after="0"/>
        <w:rPr>
          <w:rFonts w:ascii="Cambria" w:hAnsi="Cambria"/>
          <w:b/>
          <w:color w:themeColor="text1" w:val="000000"/>
          <w:sz w:val="24"/>
          <w:szCs w:val="24"/>
        </w:rPr>
      </w:pPr>
      <w:r>
        <w:rPr>
          <w:rFonts w:ascii="Cambria" w:hAnsi="Cambria"/>
          <w:b/>
          <w:color w:themeColor="text1" w:val="000000"/>
          <w:sz w:val="24"/>
          <w:szCs w:val="24"/>
        </w:rPr>
        <w:t xml:space="preserve">8.1. Kişisel Verilerin Güvenliğinin Sağlanması </w:t>
      </w:r>
    </w:p>
    <w:p>
      <w:pPr>
        <w:pStyle w:val="Normal"/>
        <w:spacing w:before="240" w:after="0"/>
        <w:jc w:val="both"/>
        <w:rPr>
          <w:rFonts w:ascii="Cambria" w:hAnsi="Cambria"/>
          <w:sz w:val="24"/>
          <w:szCs w:val="24"/>
        </w:rPr>
      </w:pPr>
      <w:r>
        <w:rPr>
          <w:rFonts w:cs="Calibri" w:ascii="Cambria" w:hAnsi="Cambria"/>
          <w:sz w:val="24"/>
          <w:szCs w:val="24"/>
        </w:rPr>
        <w:t>Seyran Koltuk</w:t>
      </w:r>
      <w:r>
        <w:rPr>
          <w:rFonts w:ascii="Cambria" w:hAnsi="Cambria"/>
          <w:sz w:val="24"/>
          <w:szCs w:val="24"/>
        </w:rPr>
        <w:t xml:space="preserve">, Kanun’un 12. maddesine uygun olarak, kişisel verilerin hukuka aykırı olarak açıklanmasını, erişimini, aktarılmasını veya başka şekillerde meydana gelebilecek güvenlik eksikliklerini önlemek için, korunacak verinin niteliğine göre gerekli tedbirlerini almaktadır. Bu kapsamda </w:t>
      </w:r>
      <w:r>
        <w:rPr>
          <w:rFonts w:cs="Calibri" w:ascii="Cambria" w:hAnsi="Cambria"/>
          <w:sz w:val="24"/>
          <w:szCs w:val="24"/>
        </w:rPr>
        <w:t>Seyran Koltuk</w:t>
      </w:r>
      <w:r>
        <w:rPr>
          <w:rFonts w:ascii="Cambria" w:hAnsi="Cambria"/>
          <w:sz w:val="24"/>
          <w:szCs w:val="24"/>
        </w:rPr>
        <w:t xml:space="preserve">, Kişisel Verileri Koruma Komitesi (“Komite”) tarafından yayımlanmış olan rehberlere uygun olarak gerekli güvenlik düzeyini sağlamaya yönelik ve idari tedbirleri almakta, denetimleri yapmakta veya yaptırmaktadır. </w:t>
      </w:r>
    </w:p>
    <w:p>
      <w:pPr>
        <w:pStyle w:val="Normal"/>
        <w:rPr>
          <w:rFonts w:ascii="Cambria" w:hAnsi="Cambria"/>
          <w:b/>
          <w:color w:themeColor="text1" w:val="000000"/>
          <w:sz w:val="24"/>
          <w:szCs w:val="24"/>
        </w:rPr>
      </w:pPr>
      <w:r>
        <w:rPr>
          <w:rFonts w:ascii="Cambria" w:hAnsi="Cambria"/>
          <w:b/>
          <w:color w:themeColor="text1" w:val="000000"/>
          <w:sz w:val="24"/>
          <w:szCs w:val="24"/>
        </w:rPr>
      </w:r>
    </w:p>
    <w:p>
      <w:pPr>
        <w:pStyle w:val="Normal"/>
        <w:rPr>
          <w:rFonts w:ascii="Cambria" w:hAnsi="Cambria"/>
          <w:b/>
          <w:color w:themeColor="text1" w:val="000000"/>
          <w:sz w:val="24"/>
          <w:szCs w:val="24"/>
        </w:rPr>
      </w:pPr>
      <w:r>
        <w:rPr>
          <w:rFonts w:ascii="Cambria" w:hAnsi="Cambria"/>
          <w:b/>
          <w:color w:themeColor="text1" w:val="000000"/>
          <w:sz w:val="24"/>
          <w:szCs w:val="24"/>
        </w:rPr>
        <w:t xml:space="preserve">8.2. Özel Nitelikli Kişisel Verilerin Korunması </w:t>
      </w:r>
    </w:p>
    <w:p>
      <w:pPr>
        <w:pStyle w:val="Normal"/>
        <w:rPr>
          <w:sz w:val="22"/>
          <w:szCs w:val="22"/>
        </w:rPr>
      </w:pPr>
      <w:r>
        <w:rPr>
          <w:sz w:val="22"/>
          <w:szCs w:val="22"/>
        </w:rPr>
      </w:r>
    </w:p>
    <w:p>
      <w:pPr>
        <w:pStyle w:val="Normal"/>
        <w:jc w:val="both"/>
        <w:rPr>
          <w:rFonts w:ascii="Cambria" w:hAnsi="Cambria"/>
          <w:sz w:val="24"/>
          <w:szCs w:val="24"/>
        </w:rPr>
      </w:pPr>
      <w:r>
        <w:rPr>
          <w:rFonts w:ascii="Cambria" w:hAnsi="Cambria"/>
          <w:sz w:val="24"/>
          <w:szCs w:val="24"/>
        </w:rPr>
        <w:t xml:space="preserve">Kanun ile birtakım kişisel verilere hukuka aykırı olarak işlendiğinde kişilerin mağduriyetine veya ayrımcılığa sebep olma riski nedeniyle özel önem atfedilmiştir. Bu veriler; ırk, etnik köken, siyasi düşünce, felsefi inanç, din, mezhep veya diğer inançlar, kılık ve kıyafet, dernek, vakıf ya da sendika üyeliği, sağlık, cinsel hayat, ceza mahkumiyeti ve güvenlik tedbirleriyle ilgili veriler ile biyometrik ve genetik verilerdir. </w:t>
      </w:r>
    </w:p>
    <w:p>
      <w:pPr>
        <w:pStyle w:val="Normal"/>
        <w:jc w:val="both"/>
        <w:rPr>
          <w:rFonts w:ascii="Cambria" w:hAnsi="Cambria"/>
          <w:sz w:val="24"/>
          <w:szCs w:val="24"/>
        </w:rPr>
      </w:pPr>
      <w:r>
        <w:rPr>
          <w:rFonts w:ascii="Cambria" w:hAnsi="Cambria"/>
          <w:sz w:val="24"/>
          <w:szCs w:val="24"/>
        </w:rPr>
      </w:r>
    </w:p>
    <w:p>
      <w:pPr>
        <w:pStyle w:val="Normal"/>
        <w:jc w:val="both"/>
        <w:rPr>
          <w:rFonts w:ascii="Cambria" w:hAnsi="Cambria"/>
          <w:sz w:val="24"/>
          <w:szCs w:val="24"/>
        </w:rPr>
      </w:pPr>
      <w:r>
        <w:rPr>
          <w:rFonts w:cs="Calibri" w:ascii="Cambria" w:hAnsi="Cambria"/>
          <w:sz w:val="24"/>
          <w:szCs w:val="24"/>
        </w:rPr>
        <w:t>SEYRAN KOLTUK</w:t>
      </w:r>
      <w:r>
        <w:rPr>
          <w:rFonts w:ascii="Cambria" w:hAnsi="Cambria"/>
          <w:sz w:val="24"/>
          <w:szCs w:val="24"/>
        </w:rPr>
        <w:t xml:space="preserve"> tarafından, Kanun ile “özel nitelikli” olarak belirlenen ve hukuka uygun olarak işlenen özel nitelikli kişisel verilerin korunmasında hassasiyetle davranılmaktadır. Bu kapsamda, Seyran Koltuk tarafından, kişisel verilerin korunması için alınan teknik ve idari tedbirler, özel nitelikli kişisel veriler bakımından özenle uygulanmakta ve </w:t>
      </w:r>
      <w:r>
        <w:rPr>
          <w:rFonts w:cs="Calibri" w:ascii="Cambria" w:hAnsi="Cambria"/>
          <w:sz w:val="24"/>
          <w:szCs w:val="24"/>
        </w:rPr>
        <w:t>Seyran Koltuk</w:t>
      </w:r>
      <w:r>
        <w:rPr>
          <w:rFonts w:ascii="Cambria" w:hAnsi="Cambria"/>
          <w:sz w:val="24"/>
          <w:szCs w:val="24"/>
        </w:rPr>
        <w:t xml:space="preserve"> bünyesinde gerekli denetimler sağlanmaktadır. </w:t>
      </w:r>
    </w:p>
    <w:p>
      <w:pPr>
        <w:pStyle w:val="Normal"/>
        <w:jc w:val="both"/>
        <w:rPr>
          <w:rFonts w:ascii="Cambria" w:hAnsi="Cambria"/>
          <w:b/>
          <w:color w:themeColor="text1" w:val="000000"/>
          <w:sz w:val="24"/>
          <w:szCs w:val="24"/>
        </w:rPr>
      </w:pPr>
      <w:r>
        <w:rPr>
          <w:rFonts w:ascii="Cambria" w:hAnsi="Cambria"/>
          <w:b/>
          <w:color w:themeColor="text1" w:val="000000"/>
          <w:sz w:val="24"/>
          <w:szCs w:val="24"/>
        </w:rPr>
      </w:r>
    </w:p>
    <w:p>
      <w:pPr>
        <w:pStyle w:val="Normal"/>
        <w:jc w:val="both"/>
        <w:rPr>
          <w:rFonts w:ascii="Cambria" w:hAnsi="Cambria"/>
          <w:b/>
          <w:color w:themeColor="text1" w:val="000000"/>
          <w:sz w:val="24"/>
          <w:szCs w:val="24"/>
        </w:rPr>
      </w:pPr>
      <w:r>
        <w:rPr>
          <w:rFonts w:ascii="Cambria" w:hAnsi="Cambria"/>
          <w:b/>
          <w:color w:themeColor="text1" w:val="000000"/>
          <w:sz w:val="24"/>
          <w:szCs w:val="24"/>
        </w:rPr>
        <w:t xml:space="preserve">8.3. İş Birimlerinin Kişisel Verilerin Korunması ve İşlenmesi Konusunda Farkındalıklarının Arttırılması ve Denetimi </w:t>
      </w:r>
    </w:p>
    <w:p>
      <w:pPr>
        <w:pStyle w:val="Normal"/>
        <w:jc w:val="both"/>
        <w:rPr>
          <w:rFonts w:ascii="Cambria" w:hAnsi="Cambria"/>
          <w:sz w:val="24"/>
          <w:szCs w:val="24"/>
        </w:rPr>
      </w:pPr>
      <w:r>
        <w:rPr>
          <w:rFonts w:ascii="Cambria" w:hAnsi="Cambria"/>
          <w:sz w:val="24"/>
          <w:szCs w:val="24"/>
        </w:rPr>
      </w:r>
    </w:p>
    <w:p>
      <w:pPr>
        <w:pStyle w:val="Normal"/>
        <w:jc w:val="both"/>
        <w:rPr>
          <w:rFonts w:ascii="Cambria" w:hAnsi="Cambria"/>
          <w:sz w:val="24"/>
          <w:szCs w:val="24"/>
        </w:rPr>
      </w:pPr>
      <w:r>
        <w:rPr>
          <w:rFonts w:cs="Calibri" w:ascii="Cambria" w:hAnsi="Cambria"/>
          <w:sz w:val="24"/>
          <w:szCs w:val="24"/>
        </w:rPr>
        <w:t>Seyran Koltuk</w:t>
      </w:r>
      <w:r>
        <w:rPr>
          <w:rFonts w:ascii="Cambria" w:hAnsi="Cambria"/>
          <w:sz w:val="24"/>
          <w:szCs w:val="24"/>
        </w:rPr>
        <w:t xml:space="preserve">, kişisel verilerin hukuka aykırı olarak işlenmesini, kişisel verilere hukuka aykırı olarak erişilmesini önlemeye ve kişisel verilerin muhafazasını sağlamaya yönelik farkındalığın artırılması için iş birimlerine gerekli eğitimlerin düzenlenmesini sağlamaktadır. </w:t>
      </w:r>
      <w:r>
        <w:rPr>
          <w:rFonts w:cs="Calibri" w:ascii="Cambria" w:hAnsi="Cambria"/>
          <w:sz w:val="24"/>
          <w:szCs w:val="24"/>
        </w:rPr>
        <w:t>Seyran Koltuk</w:t>
      </w:r>
      <w:r>
        <w:rPr>
          <w:rFonts w:ascii="Cambria" w:hAnsi="Cambria"/>
          <w:sz w:val="24"/>
          <w:szCs w:val="24"/>
        </w:rPr>
        <w:t xml:space="preserve">, çalışanlarının kişisel verilerin korunması konusunda farkındalığının oluşması için gerekli sistemler kurulmakta, konuya ilişkin ihtiyaç duyulması halinde danışmanlar ile çalışmaktadır. Bu doğrultuda </w:t>
      </w:r>
      <w:r>
        <w:rPr>
          <w:rFonts w:cs="Calibri" w:ascii="Cambria" w:hAnsi="Cambria"/>
          <w:sz w:val="24"/>
          <w:szCs w:val="24"/>
        </w:rPr>
        <w:t>Seyran Koltuk</w:t>
      </w:r>
      <w:r>
        <w:rPr>
          <w:rFonts w:ascii="Cambria" w:hAnsi="Cambria"/>
          <w:sz w:val="24"/>
          <w:szCs w:val="24"/>
        </w:rPr>
        <w:t>, ilgili eğitimlere, seminerlere ve bilgilendirme oturumlarına yapılan katılımları değerlendirmekte olup ilgili mevzuatın güncellenmesine paralel olarak eğitimlerini güncellemekte ve yenilemektedir.</w:t>
      </w:r>
    </w:p>
    <w:p>
      <w:pPr>
        <w:pStyle w:val="Title"/>
        <w:rPr>
          <w:rFonts w:ascii="Cambria" w:hAnsi="Cambria"/>
          <w:b/>
          <w:color w:themeColor="text1" w:val="000000"/>
          <w:sz w:val="24"/>
          <w:szCs w:val="24"/>
        </w:rPr>
      </w:pPr>
      <w:r>
        <w:rPr>
          <w:b/>
          <w:color w:themeColor="text1" w:val="000000"/>
          <w:sz w:val="24"/>
          <w:szCs w:val="24"/>
        </w:rPr>
      </w:r>
    </w:p>
    <w:p>
      <w:pPr>
        <w:pStyle w:val="Title"/>
        <w:rPr>
          <w:rFonts w:ascii="Cambria" w:hAnsi="Cambria"/>
          <w:b/>
          <w:color w:themeColor="text1" w:val="000000"/>
          <w:sz w:val="24"/>
          <w:szCs w:val="24"/>
        </w:rPr>
      </w:pPr>
      <w:r>
        <w:rPr>
          <w:b/>
          <w:color w:themeColor="text1" w:val="000000"/>
          <w:sz w:val="24"/>
          <w:szCs w:val="24"/>
        </w:rPr>
      </w:r>
    </w:p>
    <w:p>
      <w:pPr>
        <w:pStyle w:val="Title"/>
        <w:rPr>
          <w:rFonts w:ascii="Cambria" w:hAnsi="Cambria"/>
          <w:b/>
          <w:color w:themeColor="text1" w:val="000000"/>
          <w:sz w:val="24"/>
          <w:szCs w:val="24"/>
        </w:rPr>
      </w:pPr>
      <w:r>
        <w:rPr>
          <w:b/>
          <w:color w:themeColor="text1" w:val="000000"/>
          <w:sz w:val="24"/>
          <w:szCs w:val="24"/>
        </w:rPr>
        <w:t>9. KİŞİSEL VERİLERİN SAKLANMASI VE İMHASI</w:t>
      </w:r>
    </w:p>
    <w:p>
      <w:pPr>
        <w:pStyle w:val="Normal"/>
        <w:jc w:val="both"/>
        <w:rPr>
          <w:rFonts w:ascii="Cambria" w:hAnsi="Cambria"/>
          <w:sz w:val="24"/>
          <w:szCs w:val="24"/>
        </w:rPr>
      </w:pPr>
      <w:r>
        <w:rPr>
          <w:rFonts w:cs="Calibri" w:ascii="Cambria" w:hAnsi="Cambria"/>
          <w:sz w:val="24"/>
          <w:szCs w:val="24"/>
        </w:rPr>
        <w:t>Seyran Koltuk</w:t>
      </w:r>
      <w:r>
        <w:rPr>
          <w:rFonts w:ascii="Cambria" w:hAnsi="Cambria"/>
          <w:sz w:val="24"/>
          <w:szCs w:val="24"/>
        </w:rPr>
        <w:t xml:space="preserve">, kişisel verileri işlendikleri amaç için gerekli olan süre ve ilgili faaliyetin tabi olduğu yasal mevzuatta öngörülen minimum sürelere uygun olarak muhafaza etmektedir. Bu kapsamda, </w:t>
      </w:r>
      <w:r>
        <w:rPr>
          <w:rFonts w:cs="Calibri" w:ascii="Cambria" w:hAnsi="Cambria"/>
          <w:sz w:val="24"/>
          <w:szCs w:val="24"/>
        </w:rPr>
        <w:t>Seyran Koltuk</w:t>
      </w:r>
      <w:r>
        <w:rPr>
          <w:rFonts w:ascii="Cambria" w:hAnsi="Cambria"/>
          <w:sz w:val="24"/>
          <w:szCs w:val="24"/>
        </w:rPr>
        <w:t xml:space="preserve"> öncelikle ilgili mevzuatta kişisel verilerin saklanması için bir süre öngörülüp öngörülmediğini tespit etmekte, bir süre belirlenmişse bu süreye uygun davranmaktadır. Yasal bir süre mevcut değil ise kişisel veriler işlendikleri amaç için gerekli olan süre kadar saklanmaktadır. Kişisel veriler belirlenen saklama sürelerinin sonunda periyodik imha sürelerine veya veri sahibi başvurusuna uygun olarak ve belirlenen imha yöntemleri (silme ve/veya yok etme ve/veya anonimleştirme) ile imha edilmektedir.</w:t>
      </w:r>
    </w:p>
    <w:p>
      <w:pPr>
        <w:pStyle w:val="Normal"/>
        <w:jc w:val="both"/>
        <w:rPr>
          <w:rFonts w:ascii="Cambria" w:hAnsi="Cambria"/>
          <w:sz w:val="24"/>
          <w:szCs w:val="24"/>
        </w:rPr>
      </w:pPr>
      <w:r>
        <w:rPr>
          <w:rFonts w:ascii="Cambria" w:hAnsi="Cambria"/>
          <w:sz w:val="24"/>
          <w:szCs w:val="24"/>
        </w:rPr>
      </w:r>
    </w:p>
    <w:p>
      <w:pPr>
        <w:pStyle w:val="Normal"/>
        <w:jc w:val="both"/>
        <w:rPr>
          <w:rFonts w:ascii="Cambria" w:hAnsi="Cambria"/>
          <w:sz w:val="24"/>
          <w:szCs w:val="24"/>
        </w:rPr>
      </w:pPr>
      <w:r>
        <w:rPr>
          <w:rFonts w:ascii="Cambria" w:hAnsi="Cambria"/>
          <w:sz w:val="24"/>
          <w:szCs w:val="24"/>
        </w:rPr>
        <w:t xml:space="preserve">Bu doğrultuda </w:t>
      </w:r>
      <w:r>
        <w:rPr>
          <w:rFonts w:cs="Calibri" w:ascii="Cambria" w:hAnsi="Cambria"/>
          <w:sz w:val="24"/>
          <w:szCs w:val="24"/>
        </w:rPr>
        <w:t>Seyran Koltuk</w:t>
      </w:r>
      <w:r>
        <w:rPr>
          <w:rFonts w:ascii="Cambria" w:hAnsi="Cambria"/>
          <w:sz w:val="24"/>
          <w:szCs w:val="24"/>
        </w:rPr>
        <w:t xml:space="preserve"> tarafından Kişisel Veri Saklama ve İmha Politikası Hazırlanmış olup, konu hakkında detaylı bilgilere </w:t>
      </w:r>
      <w:r>
        <w:rPr>
          <w:rFonts w:cs="Calibri" w:ascii="Cambria" w:hAnsi="Cambria"/>
          <w:sz w:val="24"/>
          <w:szCs w:val="24"/>
        </w:rPr>
        <w:t>SEYRAN KOLTUK</w:t>
      </w:r>
      <w:r>
        <w:rPr>
          <w:rFonts w:ascii="Cambria" w:hAnsi="Cambria"/>
          <w:sz w:val="24"/>
          <w:szCs w:val="24"/>
        </w:rPr>
        <w:t xml:space="preserve"> Kişisel Veri Saklama ve İmha Politikası'ndan ulaşabilirsiniz. </w:t>
      </w:r>
    </w:p>
    <w:p>
      <w:pPr>
        <w:pStyle w:val="Title"/>
        <w:spacing w:before="240" w:after="300"/>
        <w:contextualSpacing/>
        <w:rPr>
          <w:rFonts w:ascii="Cambria" w:hAnsi="Cambria"/>
          <w:b/>
          <w:color w:themeColor="text1" w:val="000000"/>
          <w:sz w:val="24"/>
          <w:szCs w:val="24"/>
        </w:rPr>
      </w:pPr>
      <w:r>
        <w:rPr>
          <w:b/>
          <w:color w:themeColor="text1" w:val="000000"/>
          <w:sz w:val="24"/>
          <w:szCs w:val="24"/>
        </w:rPr>
      </w:r>
    </w:p>
    <w:p>
      <w:pPr>
        <w:pStyle w:val="Title"/>
        <w:spacing w:before="240" w:after="300"/>
        <w:contextualSpacing/>
        <w:rPr>
          <w:rFonts w:ascii="Cambria" w:hAnsi="Cambria"/>
          <w:b/>
          <w:color w:themeColor="text1" w:val="000000"/>
          <w:sz w:val="24"/>
          <w:szCs w:val="24"/>
        </w:rPr>
      </w:pPr>
      <w:r>
        <w:rPr>
          <w:b/>
          <w:color w:themeColor="text1" w:val="000000"/>
          <w:sz w:val="24"/>
          <w:szCs w:val="24"/>
        </w:rPr>
        <w:t>10.  KİŞİSEL VERİ SAHİPLERİNİN HAKLARI VE BU HAKLARIN KULLANILMASI</w:t>
      </w:r>
    </w:p>
    <w:p>
      <w:pPr>
        <w:pStyle w:val="Normal"/>
        <w:spacing w:lineRule="exact" w:line="41"/>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0"/>
        <w:jc w:val="both"/>
        <w:rPr>
          <w:rFonts w:ascii="Cambria" w:hAnsi="Cambria" w:cs="Times New Roman"/>
          <w:sz w:val="24"/>
          <w:szCs w:val="24"/>
        </w:rPr>
      </w:pPr>
      <w:r>
        <w:rPr>
          <w:rFonts w:cs="Times New Roman" w:ascii="Cambria" w:hAnsi="Cambria"/>
          <w:sz w:val="24"/>
          <w:szCs w:val="24"/>
        </w:rPr>
        <w:t>Kişisel veri sahipleri aşağıda yer alan haklara sahiptirler:</w:t>
      </w:r>
    </w:p>
    <w:p>
      <w:pPr>
        <w:pStyle w:val="ListParagraph"/>
        <w:numPr>
          <w:ilvl w:val="0"/>
          <w:numId w:val="6"/>
        </w:numPr>
        <w:spacing w:lineRule="atLeast" w:line="0" w:before="240" w:after="0"/>
        <w:contextualSpacing/>
        <w:jc w:val="both"/>
        <w:rPr>
          <w:rFonts w:ascii="Cambria" w:hAnsi="Cambria" w:cs="Times New Roman"/>
          <w:sz w:val="24"/>
          <w:szCs w:val="24"/>
        </w:rPr>
      </w:pPr>
      <w:r>
        <w:rPr>
          <w:rFonts w:cs="Times New Roman" w:ascii="Cambria" w:hAnsi="Cambria"/>
          <w:sz w:val="24"/>
          <w:szCs w:val="24"/>
        </w:rPr>
        <w:t>Kişisel veri işlenip işlenmediğini öğrenme,</w:t>
      </w:r>
    </w:p>
    <w:p>
      <w:pPr>
        <w:pStyle w:val="ListParagraph"/>
        <w:numPr>
          <w:ilvl w:val="0"/>
          <w:numId w:val="6"/>
        </w:numPr>
        <w:spacing w:lineRule="atLeast" w:line="0" w:before="240" w:after="0"/>
        <w:contextualSpacing/>
        <w:jc w:val="both"/>
        <w:rPr>
          <w:rFonts w:ascii="Cambria" w:hAnsi="Cambria" w:cs="Times New Roman"/>
          <w:sz w:val="24"/>
          <w:szCs w:val="24"/>
        </w:rPr>
      </w:pPr>
      <w:r>
        <w:rPr>
          <w:rFonts w:cs="Times New Roman" w:ascii="Cambria" w:hAnsi="Cambria"/>
          <w:sz w:val="24"/>
          <w:szCs w:val="24"/>
        </w:rPr>
        <w:t>Kişisel verileri işlenmişse buna ilişkin bilgi talep etme,</w:t>
      </w:r>
    </w:p>
    <w:p>
      <w:pPr>
        <w:pStyle w:val="ListParagraph"/>
        <w:numPr>
          <w:ilvl w:val="0"/>
          <w:numId w:val="6"/>
        </w:numPr>
        <w:spacing w:lineRule="atLeast" w:line="0" w:before="240" w:after="0"/>
        <w:contextualSpacing/>
        <w:jc w:val="both"/>
        <w:rPr>
          <w:rFonts w:ascii="Cambria" w:hAnsi="Cambria" w:cs="Times New Roman"/>
          <w:sz w:val="24"/>
          <w:szCs w:val="24"/>
        </w:rPr>
      </w:pPr>
      <w:r>
        <w:rPr>
          <w:rFonts w:cs="Times New Roman" w:ascii="Cambria" w:hAnsi="Cambria"/>
          <w:sz w:val="24"/>
          <w:szCs w:val="24"/>
        </w:rPr>
        <w:t>Kişisel verilerin işlenme amacını ve bunların amacına uygun kullanılıp kullanılmadığını öğrenme,</w:t>
      </w:r>
    </w:p>
    <w:p>
      <w:pPr>
        <w:pStyle w:val="ListParagraph"/>
        <w:numPr>
          <w:ilvl w:val="0"/>
          <w:numId w:val="6"/>
        </w:numPr>
        <w:spacing w:lineRule="atLeast" w:line="0" w:before="240" w:after="0"/>
        <w:contextualSpacing/>
        <w:jc w:val="both"/>
        <w:rPr>
          <w:rFonts w:ascii="Cambria" w:hAnsi="Cambria" w:cs="Times New Roman"/>
          <w:sz w:val="24"/>
          <w:szCs w:val="24"/>
        </w:rPr>
      </w:pPr>
      <w:r>
        <w:rPr>
          <w:rFonts w:cs="Times New Roman" w:ascii="Cambria" w:hAnsi="Cambria"/>
          <w:sz w:val="24"/>
          <w:szCs w:val="24"/>
        </w:rPr>
        <w:t>Yurt içinde veya yurt dışında kişisel verilerin aktarıldığı üçüncü kişileri bilme,</w:t>
      </w:r>
    </w:p>
    <w:p>
      <w:pPr>
        <w:pStyle w:val="ListParagraph"/>
        <w:numPr>
          <w:ilvl w:val="0"/>
          <w:numId w:val="6"/>
        </w:numPr>
        <w:spacing w:lineRule="atLeast" w:line="0" w:before="240" w:after="0"/>
        <w:contextualSpacing/>
        <w:jc w:val="both"/>
        <w:rPr>
          <w:rFonts w:ascii="Cambria" w:hAnsi="Cambria" w:cs="Times New Roman"/>
          <w:sz w:val="24"/>
          <w:szCs w:val="24"/>
        </w:rPr>
      </w:pPr>
      <w:r>
        <w:rPr>
          <w:rFonts w:cs="Times New Roman" w:ascii="Cambria" w:hAnsi="Cambria"/>
          <w:sz w:val="24"/>
          <w:szCs w:val="24"/>
        </w:rPr>
        <w:t>Kişisel verilerin eksik veya yanlış işlenmiş olması hâlinde bunların düzeltilmesini isteme ve bu kapsamda yapılan işlemin kişisel verilerin aktarıldığı üçüncü kişilere bildirilmesini isteme,</w:t>
      </w:r>
    </w:p>
    <w:p>
      <w:pPr>
        <w:pStyle w:val="ListParagraph"/>
        <w:numPr>
          <w:ilvl w:val="0"/>
          <w:numId w:val="6"/>
        </w:numPr>
        <w:spacing w:lineRule="atLeast" w:line="0" w:before="240" w:after="0"/>
        <w:contextualSpacing/>
        <w:jc w:val="both"/>
        <w:rPr>
          <w:rFonts w:ascii="Cambria" w:hAnsi="Cambria" w:cs="Times New Roman"/>
          <w:sz w:val="24"/>
          <w:szCs w:val="24"/>
        </w:rPr>
      </w:pPr>
      <w:r>
        <w:rPr>
          <w:rFonts w:cs="Times New Roman" w:ascii="Cambria" w:hAnsi="Cambria"/>
          <w:sz w:val="24"/>
          <w:szCs w:val="24"/>
        </w:rPr>
        <w:t>KVK Kanunu 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isteme,</w:t>
      </w:r>
    </w:p>
    <w:p>
      <w:pPr>
        <w:pStyle w:val="ListParagraph"/>
        <w:numPr>
          <w:ilvl w:val="0"/>
          <w:numId w:val="6"/>
        </w:numPr>
        <w:spacing w:lineRule="atLeast" w:line="0" w:before="240" w:after="0"/>
        <w:contextualSpacing/>
        <w:jc w:val="both"/>
        <w:rPr>
          <w:rFonts w:ascii="Cambria" w:hAnsi="Cambria" w:cs="Times New Roman"/>
          <w:sz w:val="24"/>
          <w:szCs w:val="24"/>
        </w:rPr>
      </w:pPr>
      <w:r>
        <w:rPr>
          <w:rFonts w:cs="Times New Roman" w:ascii="Cambria" w:hAnsi="Cambria"/>
          <w:sz w:val="24"/>
          <w:szCs w:val="24"/>
        </w:rPr>
        <w:t>İşlenen verilerin münhasıran otomatik sistemler vasıtasıyla analiz edilmesi suretiyle kişinin kendisi aleyhine bir sonucun ortaya çıkmasına itiraz etme,</w:t>
      </w:r>
    </w:p>
    <w:p>
      <w:pPr>
        <w:pStyle w:val="ListParagraph"/>
        <w:numPr>
          <w:ilvl w:val="0"/>
          <w:numId w:val="6"/>
        </w:numPr>
        <w:spacing w:lineRule="atLeast" w:line="0" w:before="240" w:after="0"/>
        <w:contextualSpacing/>
        <w:jc w:val="both"/>
        <w:rPr>
          <w:rFonts w:ascii="Cambria" w:hAnsi="Cambria" w:cs="Times New Roman"/>
          <w:sz w:val="24"/>
          <w:szCs w:val="24"/>
        </w:rPr>
      </w:pPr>
      <w:r>
        <w:rPr>
          <w:rFonts w:cs="Times New Roman" w:ascii="Cambria" w:hAnsi="Cambria"/>
          <w:sz w:val="24"/>
          <w:szCs w:val="24"/>
        </w:rPr>
        <w:t>Kişisel verilerin kanuna aykırı olarak işlenmesi sebebiyle zarara uğraması hâlinde zararın giderilmesini talep etme.</w:t>
      </w:r>
    </w:p>
    <w:p>
      <w:pPr>
        <w:pStyle w:val="ListParagraph"/>
        <w:ind w:left="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tLeast" w:line="0"/>
        <w:jc w:val="both"/>
        <w:rPr>
          <w:rFonts w:ascii="Cambria" w:hAnsi="Cambria" w:cs="Times New Roman"/>
          <w:b/>
          <w:color w:val="C00000"/>
          <w:sz w:val="24"/>
          <w:szCs w:val="24"/>
        </w:rPr>
      </w:pPr>
      <w:r>
        <w:rPr>
          <w:rFonts w:cs="Times New Roman" w:ascii="Cambria" w:hAnsi="Cambria"/>
          <w:b/>
          <w:color w:val="C00000"/>
          <w:sz w:val="24"/>
          <w:szCs w:val="24"/>
        </w:rPr>
      </w:r>
    </w:p>
    <w:p>
      <w:pPr>
        <w:pStyle w:val="Normal"/>
        <w:spacing w:lineRule="atLeast" w:line="0"/>
        <w:jc w:val="both"/>
        <w:rPr>
          <w:rFonts w:ascii="Cambria" w:hAnsi="Cambria" w:cs="Times New Roman"/>
          <w:b/>
          <w:color w:val="C00000"/>
          <w:sz w:val="24"/>
          <w:szCs w:val="24"/>
        </w:rPr>
      </w:pPr>
      <w:r>
        <w:rPr>
          <w:rFonts w:cs="Times New Roman" w:ascii="Cambria" w:hAnsi="Cambria"/>
          <w:b/>
          <w:color w:val="C00000"/>
          <w:sz w:val="24"/>
          <w:szCs w:val="24"/>
        </w:rPr>
      </w:r>
    </w:p>
    <w:p>
      <w:pPr>
        <w:pStyle w:val="Normal"/>
        <w:spacing w:lineRule="atLeast" w:line="0"/>
        <w:jc w:val="both"/>
        <w:rPr>
          <w:rFonts w:ascii="Cambria" w:hAnsi="Cambria" w:cs="Times New Roman"/>
          <w:b/>
          <w:color w:themeColor="text1" w:val="000000"/>
          <w:sz w:val="24"/>
          <w:szCs w:val="24"/>
        </w:rPr>
      </w:pPr>
      <w:r>
        <w:rPr>
          <w:rFonts w:cs="Times New Roman" w:ascii="Cambria" w:hAnsi="Cambria"/>
          <w:b/>
          <w:color w:themeColor="text1" w:val="000000"/>
          <w:sz w:val="24"/>
          <w:szCs w:val="24"/>
        </w:rPr>
        <w:t>10.2. Kişisel Veri Sahibinin Haklarını Kullanması</w:t>
      </w:r>
    </w:p>
    <w:p>
      <w:pPr>
        <w:pStyle w:val="ListParagraph"/>
        <w:ind w:left="0"/>
        <w:jc w:val="both"/>
        <w:rPr>
          <w:rFonts w:ascii="Cambria" w:hAnsi="Cambria" w:cs="Cambria" w:cstheme="majorHAnsi"/>
          <w:sz w:val="22"/>
          <w:szCs w:val="22"/>
        </w:rPr>
      </w:pPr>
      <w:r>
        <w:rPr>
          <w:rFonts w:cs="Cambria" w:cstheme="majorHAnsi" w:ascii="Cambria" w:hAnsi="Cambria"/>
          <w:sz w:val="22"/>
          <w:szCs w:val="22"/>
        </w:rPr>
      </w:r>
    </w:p>
    <w:p>
      <w:pPr>
        <w:pStyle w:val="ListParagraph"/>
        <w:ind w:left="0"/>
        <w:jc w:val="both"/>
        <w:rPr>
          <w:rFonts w:ascii="Cambria" w:hAnsi="Cambria" w:cs="Cambria" w:cstheme="majorHAnsi"/>
          <w:color w:themeColor="text1" w:val="000000"/>
          <w:sz w:val="24"/>
          <w:szCs w:val="24"/>
        </w:rPr>
      </w:pPr>
      <w:r>
        <w:rPr>
          <w:rFonts w:cs="Cambria" w:ascii="Cambria" w:hAnsi="Cambria" w:cstheme="majorHAnsi"/>
          <w:sz w:val="24"/>
          <w:szCs w:val="24"/>
        </w:rPr>
        <w:t>İşbu Politika'nın 10. Maddesinde sayılan, İlgili kanun ve sair mevzuat dahilinde öngörülen yasal haklarınız uyarınca taleplerinizi dilekçe ile yukarıda yer verilen adresimize bizzat elden iletebilir, noter kanalıyla ulaştırabilirsiniz. Bunun yanında, “Veri Sorumlusuna Başvuru Usul ve Esasları Hakkına Tebliğ”in 5. maddesi uyarıca kayıtlı elektronik posta (KEP) adresi, güvenli elektronik imza, mobil imza ya da Seyran Koltuk’a daha önce bildirdiğiniz ve sistemlerimizde kayıtlı bulunan elektronik posta adresini kullanmak suretiyle </w:t>
      </w:r>
      <w:hyperlink r:id="rId2">
        <w:r>
          <w:rPr>
            <w:rStyle w:val="Hyperlink"/>
            <w:rFonts w:cs="Cambria" w:ascii="Barlow;Arial;Helvetica;sans-serif" w:hAnsi="Barlow;Arial;Helvetica;sans-serif" w:cstheme="majorHAnsi"/>
            <w:b/>
            <w:bCs/>
            <w:i w:val="false"/>
            <w:caps w:val="false"/>
            <w:smallCaps w:val="false"/>
            <w:strike w:val="false"/>
            <w:dstrike w:val="false"/>
            <w:color w:val="000000"/>
            <w:spacing w:val="0"/>
            <w:sz w:val="21"/>
            <w:szCs w:val="24"/>
            <w:u w:val="none"/>
            <w:effect w:val="none"/>
          </w:rPr>
          <w:t>info@seyrankoltuk.com.tr</w:t>
        </w:r>
      </w:hyperlink>
      <w:r>
        <w:rPr>
          <w:rFonts w:cs="Cambria" w:ascii="Cambria" w:hAnsi="Cambria" w:cstheme="majorHAnsi"/>
          <w:b/>
          <w:sz w:val="24"/>
          <w:szCs w:val="24"/>
          <w:u w:val="single"/>
        </w:rPr>
        <w:t xml:space="preserve"> </w:t>
      </w:r>
      <w:r>
        <w:rPr>
          <w:rFonts w:cs="Cambria" w:ascii="Cambria" w:hAnsi="Cambria" w:cstheme="majorHAnsi"/>
          <w:sz w:val="24"/>
          <w:szCs w:val="24"/>
        </w:rPr>
        <w:t xml:space="preserve"> adresine iletebilirsiniz.</w:t>
      </w:r>
      <w:r>
        <w:rPr>
          <w:rFonts w:cs="Cambria" w:ascii="Cambria" w:hAnsi="Cambria" w:cstheme="majorHAnsi"/>
          <w:color w:val="666666"/>
          <w:sz w:val="24"/>
          <w:szCs w:val="24"/>
          <w:shd w:fill="FFFFFF" w:val="clear"/>
        </w:rPr>
        <w:t xml:space="preserve"> </w:t>
      </w:r>
      <w:r>
        <w:rPr>
          <w:rFonts w:cs="Cambria" w:ascii="Cambria" w:hAnsi="Cambria" w:cstheme="majorHAnsi"/>
          <w:color w:themeColor="text1" w:val="000000"/>
          <w:sz w:val="24"/>
          <w:szCs w:val="24"/>
        </w:rPr>
        <w:t xml:space="preserve"> </w:t>
      </w:r>
    </w:p>
    <w:p>
      <w:pPr>
        <w:pStyle w:val="Normal"/>
        <w:spacing w:lineRule="exact" w:line="307"/>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tLeast" w:line="0"/>
        <w:jc w:val="both"/>
        <w:rPr>
          <w:rFonts w:ascii="Cambria" w:hAnsi="Cambria" w:cs="Times New Roman"/>
          <w:sz w:val="24"/>
          <w:szCs w:val="24"/>
        </w:rPr>
      </w:pPr>
      <w:r>
        <w:rPr>
          <w:rFonts w:cs="Times New Roman" w:ascii="Cambria" w:hAnsi="Cambria"/>
          <w:sz w:val="24"/>
          <w:szCs w:val="24"/>
        </w:rPr>
        <w:t>Kişisel veri sahipleri adına üçüncü kişiler tarafından talepte bulunulması mümkün değildir. Kişisel veri sahibinin kendisi dışında bir kişinin talepte bulunması için konuya ilişkin olarak kişisel veri sahibi tarafından başvuruda bulunacak kişi adına düzenlenmiş özel vekâletname bulunmalıdır.</w:t>
      </w:r>
    </w:p>
    <w:p>
      <w:pPr>
        <w:pStyle w:val="Normal"/>
        <w:spacing w:lineRule="exact" w:line="391"/>
        <w:jc w:val="both"/>
        <w:rPr>
          <w:rFonts w:ascii="Cambria" w:hAnsi="Cambria" w:cs="Times New Roman"/>
          <w:sz w:val="24"/>
          <w:szCs w:val="24"/>
        </w:rPr>
      </w:pPr>
      <w:r>
        <w:rPr>
          <w:rFonts w:cs="Times New Roman" w:ascii="Cambria" w:hAnsi="Cambria"/>
          <w:sz w:val="24"/>
          <w:szCs w:val="24"/>
        </w:rPr>
      </w:r>
    </w:p>
    <w:p>
      <w:pPr>
        <w:pStyle w:val="Normal"/>
        <w:spacing w:lineRule="auto" w:line="259" w:before="0" w:after="240"/>
        <w:jc w:val="both"/>
        <w:rPr>
          <w:rFonts w:ascii="Cambria" w:hAnsi="Cambria" w:cs="Times New Roman"/>
          <w:sz w:val="24"/>
          <w:szCs w:val="24"/>
        </w:rPr>
      </w:pPr>
      <w:r>
        <w:rPr>
          <w:rFonts w:cs="Times New Roman" w:ascii="Cambria" w:hAnsi="Cambria"/>
          <w:sz w:val="24"/>
          <w:szCs w:val="24"/>
        </w:rPr>
      </w:r>
    </w:p>
    <w:p>
      <w:pPr>
        <w:pStyle w:val="Normal"/>
        <w:spacing w:lineRule="auto" w:line="259" w:before="0" w:after="240"/>
        <w:jc w:val="both"/>
        <w:rPr>
          <w:rFonts w:ascii="Cambria" w:hAnsi="Cambria" w:cs="Times New Roman"/>
          <w:sz w:val="24"/>
          <w:szCs w:val="24"/>
        </w:rPr>
      </w:pPr>
      <w:r>
        <w:rPr>
          <w:rFonts w:cs="Times New Roman" w:ascii="Cambria" w:hAnsi="Cambria"/>
          <w:sz w:val="24"/>
          <w:szCs w:val="24"/>
        </w:rPr>
        <w:t xml:space="preserve">Kişisel veri sahipleri, haklarını kullanmak için yapacakları başvuruda, </w:t>
      </w:r>
      <w:r>
        <w:rPr>
          <w:rFonts w:cs="Calibri" w:ascii="Cambria" w:hAnsi="Cambria"/>
          <w:sz w:val="24"/>
          <w:szCs w:val="24"/>
        </w:rPr>
        <w:t>Seyran Koltuk</w:t>
      </w:r>
      <w:r>
        <w:rPr>
          <w:rFonts w:cs="Times New Roman" w:ascii="Cambria" w:hAnsi="Cambria"/>
          <w:sz w:val="24"/>
          <w:szCs w:val="24"/>
        </w:rPr>
        <w:t xml:space="preserve"> tarafından hazırlanmış “6698 Sayılı Kişisel Verilerin Korunması Kanunu Gereğince İlgili Kişi (Kişisel Veri Sahibi) Tarafından Veri Sorumlusuna Yapılacak Başvurulara İlişkin Başvuru Formu'nu kullanabileceklerdir. Bu formda yapılacak başvurunun yöntemi de ayrıntılı bir şekilde anlatılmaktadır.</w:t>
      </w:r>
    </w:p>
    <w:p>
      <w:pPr>
        <w:pStyle w:val="Normal"/>
        <w:spacing w:lineRule="atLeast" w:line="0" w:before="0" w:after="240"/>
        <w:jc w:val="both"/>
        <w:rPr>
          <w:rFonts w:ascii="Cambria" w:hAnsi="Cambria" w:cs="Times New Roman"/>
          <w:b/>
          <w:color w:themeColor="text1" w:val="000000"/>
          <w:sz w:val="24"/>
          <w:szCs w:val="24"/>
        </w:rPr>
      </w:pPr>
      <w:r>
        <w:rPr>
          <w:rFonts w:cs="Times New Roman" w:ascii="Cambria" w:hAnsi="Cambria"/>
          <w:b/>
          <w:color w:themeColor="text1" w:val="000000"/>
          <w:sz w:val="24"/>
          <w:szCs w:val="24"/>
        </w:rPr>
        <w:t>11.3. Kişisel Veri Sahibinin KVK Kurulu’na Şikâyette Bulunma Hakkı</w:t>
      </w:r>
    </w:p>
    <w:p>
      <w:pPr>
        <w:pStyle w:val="Normal"/>
        <w:spacing w:lineRule="exact" w:line="9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59"/>
        <w:jc w:val="both"/>
        <w:rPr>
          <w:rFonts w:ascii="Cambria" w:hAnsi="Cambria" w:cs="Times New Roman"/>
          <w:sz w:val="24"/>
          <w:szCs w:val="24"/>
        </w:rPr>
      </w:pPr>
      <w:r>
        <w:rPr>
          <w:rFonts w:cs="Times New Roman" w:ascii="Cambria" w:hAnsi="Cambria"/>
          <w:sz w:val="24"/>
          <w:szCs w:val="24"/>
        </w:rPr>
        <w:t xml:space="preserve">Kişisel veri sahibi KVK Kanunu’nun 14. maddesi gereğince başvurunun reddedilmesi, verilen cevabın yetersiz bulunması veya süresinde başvuruya cevap verilmemesi hâllerinde; </w:t>
      </w:r>
      <w:r>
        <w:rPr>
          <w:rFonts w:cs="Calibri" w:ascii="Cambria" w:hAnsi="Cambria"/>
          <w:sz w:val="24"/>
          <w:szCs w:val="24"/>
        </w:rPr>
        <w:t>Seyran Koltuk’un</w:t>
      </w:r>
      <w:r>
        <w:rPr>
          <w:rFonts w:cs="Times New Roman" w:ascii="Cambria" w:hAnsi="Cambria"/>
          <w:sz w:val="24"/>
          <w:szCs w:val="24"/>
        </w:rPr>
        <w:t xml:space="preserve"> cevabını öğrendiği tarihten itibaren otuz ve her hâlde başvuru tarihinden itibaren altmış gün içinde </w:t>
      </w:r>
    </w:p>
    <w:p>
      <w:pPr>
        <w:pStyle w:val="Normal"/>
        <w:spacing w:lineRule="auto" w:line="259"/>
        <w:jc w:val="both"/>
        <w:rPr>
          <w:rFonts w:ascii="Cambria" w:hAnsi="Cambria" w:cs="Times New Roman"/>
          <w:sz w:val="24"/>
          <w:szCs w:val="24"/>
        </w:rPr>
      </w:pPr>
      <w:r>
        <w:rPr>
          <w:rFonts w:cs="Times New Roman" w:ascii="Cambria" w:hAnsi="Cambria"/>
          <w:sz w:val="24"/>
          <w:szCs w:val="24"/>
        </w:rPr>
      </w:r>
    </w:p>
    <w:p>
      <w:pPr>
        <w:pStyle w:val="Normal"/>
        <w:spacing w:lineRule="auto" w:line="259"/>
        <w:jc w:val="both"/>
        <w:rPr>
          <w:rFonts w:ascii="Cambria" w:hAnsi="Cambria" w:cs="Times New Roman"/>
          <w:sz w:val="24"/>
          <w:szCs w:val="24"/>
        </w:rPr>
      </w:pPr>
      <w:r>
        <w:rPr>
          <w:rFonts w:cs="Times New Roman" w:ascii="Cambria" w:hAnsi="Cambria"/>
          <w:sz w:val="24"/>
          <w:szCs w:val="24"/>
        </w:rPr>
        <w:t>KVK Kurulu’na şikâyette bulunabilir.</w:t>
      </w:r>
    </w:p>
    <w:p>
      <w:pPr>
        <w:pStyle w:val="Normal"/>
        <w:spacing w:lineRule="exact" w:line="20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exact" w:line="32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exact" w:line="32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exact" w:line="32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18"/>
        <w:jc w:val="both"/>
        <w:rPr>
          <w:rFonts w:ascii="Cambria" w:hAnsi="Cambria" w:cs="Times New Roman"/>
          <w:b/>
          <w:color w:themeColor="text1" w:val="000000"/>
          <w:sz w:val="24"/>
          <w:szCs w:val="24"/>
        </w:rPr>
      </w:pPr>
      <w:r>
        <w:rPr>
          <w:rFonts w:cs="Times New Roman" w:ascii="Cambria" w:hAnsi="Cambria"/>
          <w:b/>
          <w:color w:themeColor="text1" w:val="000000"/>
          <w:sz w:val="24"/>
          <w:szCs w:val="24"/>
        </w:rPr>
        <w:t xml:space="preserve">11.4. </w:t>
      </w:r>
      <w:r>
        <w:rPr>
          <w:rFonts w:cs="Calibri" w:ascii="Cambria" w:hAnsi="Cambria"/>
          <w:b/>
          <w:color w:themeColor="text1" w:val="000000"/>
          <w:sz w:val="24"/>
          <w:szCs w:val="24"/>
        </w:rPr>
        <w:t>Seyran Koltuk ‘un Başvurulara Cevap Vermesi</w:t>
      </w:r>
    </w:p>
    <w:p>
      <w:pPr>
        <w:pStyle w:val="Normal"/>
        <w:spacing w:lineRule="auto" w:line="218" w:before="240" w:after="0"/>
        <w:jc w:val="both"/>
        <w:rPr>
          <w:rFonts w:ascii="Cambria" w:hAnsi="Cambria" w:cs="Times New Roman"/>
          <w:b/>
          <w:color w:val="C00000"/>
          <w:sz w:val="24"/>
          <w:szCs w:val="24"/>
        </w:rPr>
      </w:pPr>
      <w:r>
        <w:rPr>
          <w:rFonts w:cs="Cambria" w:ascii="Cambria" w:hAnsi="Cambria" w:cstheme="majorHAnsi"/>
          <w:color w:themeColor="text1" w:val="000000"/>
          <w:sz w:val="24"/>
          <w:szCs w:val="24"/>
        </w:rPr>
        <w:t xml:space="preserve">Kişisel veri sahipleri olarak, haklarınıza ilişkin taleplerinizi Kişisel Verilerin Korunması ve İşlenmesi Politikası’nda düzenlenen yöntemlerle </w:t>
      </w:r>
      <w:r>
        <w:rPr>
          <w:rFonts w:cs="Calibri" w:ascii="Cambria" w:hAnsi="Cambria"/>
          <w:color w:themeColor="text1" w:val="000000"/>
          <w:sz w:val="24"/>
          <w:szCs w:val="24"/>
        </w:rPr>
        <w:t>Seyran Koltuk’a</w:t>
      </w:r>
      <w:r>
        <w:rPr>
          <w:rFonts w:cs="Cambria" w:ascii="Cambria" w:hAnsi="Cambria" w:cstheme="majorHAnsi"/>
          <w:color w:themeColor="text1" w:val="000000"/>
          <w:sz w:val="24"/>
          <w:szCs w:val="24"/>
        </w:rPr>
        <w:t xml:space="preserve"> iletmeniz durumunda </w:t>
      </w:r>
      <w:r>
        <w:rPr>
          <w:rFonts w:cs="Calibri" w:ascii="Cambria" w:hAnsi="Cambria"/>
          <w:color w:themeColor="text1" w:val="000000"/>
          <w:sz w:val="24"/>
          <w:szCs w:val="24"/>
        </w:rPr>
        <w:t>Seyran Koltuk</w:t>
      </w:r>
      <w:r>
        <w:rPr>
          <w:rFonts w:cs="Cambria" w:ascii="Cambria" w:hAnsi="Cambria" w:cstheme="majorHAnsi"/>
          <w:color w:themeColor="text1" w:val="000000"/>
          <w:sz w:val="24"/>
          <w:szCs w:val="24"/>
        </w:rPr>
        <w:t xml:space="preserve">, talebin niteliğine göre talebi en geç otuz gün içinde ücretsiz olarak sonuçlandıracaktır. Ancak, Kişisel Verileri Koruma Kurulu'nca bir ücret öngörülmesi halinde, </w:t>
      </w:r>
      <w:r>
        <w:rPr>
          <w:rFonts w:cs="Calibri" w:ascii="Cambria" w:hAnsi="Cambria"/>
          <w:color w:themeColor="text1" w:val="000000"/>
          <w:sz w:val="24"/>
          <w:szCs w:val="24"/>
        </w:rPr>
        <w:t xml:space="preserve">Seyran Koltuk </w:t>
      </w:r>
      <w:r>
        <w:rPr>
          <w:rFonts w:cs="Cambria" w:ascii="Cambria" w:hAnsi="Cambria" w:cstheme="majorHAnsi"/>
          <w:color w:themeColor="text1" w:val="000000"/>
          <w:sz w:val="24"/>
          <w:szCs w:val="24"/>
        </w:rPr>
        <w:t>tarafından Kişisel Verileri Koruma Kurulu'nca belirlenen tarifedeki ücret alınacaktır</w:t>
      </w:r>
      <w:r>
        <w:rPr>
          <w:rFonts w:cs="Cambria" w:ascii="Cambria" w:hAnsi="Cambria" w:cstheme="majorHAnsi"/>
          <w:color w:themeColor="text1" w:val="000000"/>
          <w:sz w:val="22"/>
          <w:szCs w:val="22"/>
        </w:rPr>
        <w:t>.</w:t>
      </w:r>
    </w:p>
    <w:p>
      <w:pPr>
        <w:pStyle w:val="Normal"/>
        <w:spacing w:lineRule="exact" w:line="25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bookmarkStart w:id="0" w:name="page37"/>
      <w:bookmarkStart w:id="1" w:name="page37"/>
      <w:bookmarkEnd w:id="1"/>
    </w:p>
    <w:p>
      <w:pPr>
        <w:pStyle w:val="Normal"/>
        <w:rPr/>
      </w:pPr>
      <w:r>
        <w:rPr/>
      </w:r>
    </w:p>
    <w:p>
      <w:pPr>
        <w:pStyle w:val="Normal"/>
        <w:jc w:val="center"/>
        <w:rPr/>
      </w:pPr>
      <w:r>
        <w:rPr/>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720" w:right="720" w:gutter="0" w:header="708" w:top="765" w:footer="708" w:bottom="7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2"/>
    <w:family w:val="roman"/>
    <w:pitch w:val="variable"/>
  </w:font>
  <w:font w:name="Calibri">
    <w:charset w:val="a2"/>
    <w:family w:val="roman"/>
    <w:pitch w:val="variable"/>
  </w:font>
  <w:font w:name="Cambria">
    <w:charset w:val="a2"/>
    <w:family w:val="swiss"/>
    <w:pitch w:val="variable"/>
  </w:font>
  <w:font w:name="Tahoma">
    <w:charset w:val="a2"/>
    <w:family w:val="swiss"/>
    <w:pitch w:val="variable"/>
  </w:font>
  <w:font w:name="Liberation Sans">
    <w:altName w:val="Arial"/>
    <w:charset w:val="a2"/>
    <w:family w:val="swiss"/>
    <w:pitch w:val="variable"/>
  </w:font>
  <w:font w:name="Times New Roman">
    <w:charset w:val="a2"/>
    <w:family w:val="roman"/>
    <w:pitch w:val="variable"/>
  </w:font>
  <w:font w:name="Barlow">
    <w:altName w:val="Arial"/>
    <w:charset w:val="a2"/>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p>
    <w:pPr>
      <w:pStyle w:val="Footer"/>
      <w:rPr/>
    </w:pPr>
    <w:r>
      <w:rPr/>
    </w:r>
  </w:p>
  <w:p>
    <w:pPr>
      <w:pStyle w:val="Footer"/>
      <w:rPr/>
    </w:pPr>
    <w:r>
      <w:rPr/>
    </w:r>
  </w:p>
  <w:p>
    <w:pPr>
      <w:pStyle w:val="Footer"/>
      <w:rPr/>
    </w:pPr>
    <w:r>
      <w:rPr/>
    </w:r>
  </w:p>
  <w:p>
    <w:pPr>
      <w:pStyle w:val="Footer"/>
      <w:rPr/>
    </w:pPr>
    <w:r>
      <w:rPr/>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p>
    <w:pPr>
      <w:pStyle w:val="Footer"/>
      <w:rPr/>
    </w:pPr>
    <w:r>
      <w:rPr/>
    </w:r>
  </w:p>
  <w:p>
    <w:pPr>
      <w:pStyle w:val="Footer"/>
      <w:rPr/>
    </w:pPr>
    <w:r>
      <w:rPr/>
    </w:r>
  </w:p>
  <w:p>
    <w:pPr>
      <w:pStyle w:val="Footer"/>
      <w:rPr/>
    </w:pPr>
    <w:r>
      <w:rPr/>
    </w:r>
  </w:p>
  <w:p>
    <w:pPr>
      <w:pStyle w:val="Footer"/>
      <w:rPr/>
    </w:pPr>
    <w:r>
      <w:rPr/>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0" distT="0" distB="0" distL="0" distR="0" simplePos="0" locked="0" layoutInCell="0" allowOverlap="1" relativeHeight="16">
          <wp:simplePos x="0" y="0"/>
          <wp:positionH relativeFrom="column">
            <wp:posOffset>1532255</wp:posOffset>
          </wp:positionH>
          <wp:positionV relativeFrom="paragraph">
            <wp:posOffset>-370840</wp:posOffset>
          </wp:positionV>
          <wp:extent cx="3673475" cy="917575"/>
          <wp:effectExtent l="0" t="0" r="0" b="0"/>
          <wp:wrapSquare wrapText="largest"/>
          <wp:docPr id="1" name="Görüntü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rüntü1" descr=""/>
                  <pic:cNvPicPr>
                    <a:picLocks noChangeAspect="1" noChangeArrowheads="1"/>
                  </pic:cNvPicPr>
                </pic:nvPicPr>
                <pic:blipFill>
                  <a:blip r:embed="rId1"/>
                  <a:stretch>
                    <a:fillRect/>
                  </a:stretch>
                </pic:blipFill>
                <pic:spPr bwMode="auto">
                  <a:xfrm>
                    <a:off x="0" y="0"/>
                    <a:ext cx="3673475" cy="917575"/>
                  </a:xfrm>
                  <a:prstGeom prst="rect">
                    <a:avLst/>
                  </a:prstGeom>
                  <a:noFill/>
                </pic:spPr>
              </pic:pic>
            </a:graphicData>
          </a:graphic>
        </wp:anchor>
      </w:drawing>
    </w:r>
  </w:p>
  <w:p>
    <w:pPr>
      <w:pStyle w:val="Header"/>
      <w:jc w:val="center"/>
      <w:rPr/>
    </w:pPr>
    <w:r>
      <w:rPr/>
    </w:r>
  </w:p>
  <w:p>
    <w:pPr>
      <w:pStyle w:val="Header"/>
      <w:jc w:val="center"/>
      <w:rPr/>
    </w:pPr>
    <w:r>
      <w:rPr/>
    </w:r>
  </w:p>
  <w:p>
    <w:pPr>
      <w:pStyle w:val="Header"/>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0" distT="0" distB="0" distL="0" distR="0" simplePos="0" locked="0" layoutInCell="0" allowOverlap="1" relativeHeight="16">
          <wp:simplePos x="0" y="0"/>
          <wp:positionH relativeFrom="column">
            <wp:posOffset>1532255</wp:posOffset>
          </wp:positionH>
          <wp:positionV relativeFrom="paragraph">
            <wp:posOffset>-370840</wp:posOffset>
          </wp:positionV>
          <wp:extent cx="3673475" cy="917575"/>
          <wp:effectExtent l="0" t="0" r="0" b="0"/>
          <wp:wrapSquare wrapText="largest"/>
          <wp:docPr id="2" name="Görüntü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örüntü1" descr=""/>
                  <pic:cNvPicPr>
                    <a:picLocks noChangeAspect="1" noChangeArrowheads="1"/>
                  </pic:cNvPicPr>
                </pic:nvPicPr>
                <pic:blipFill>
                  <a:blip r:embed="rId1"/>
                  <a:stretch>
                    <a:fillRect/>
                  </a:stretch>
                </pic:blipFill>
                <pic:spPr bwMode="auto">
                  <a:xfrm>
                    <a:off x="0" y="0"/>
                    <a:ext cx="3673475" cy="917575"/>
                  </a:xfrm>
                  <a:prstGeom prst="rect">
                    <a:avLst/>
                  </a:prstGeom>
                  <a:noFill/>
                </pic:spPr>
              </pic:pic>
            </a:graphicData>
          </a:graphic>
        </wp:anchor>
      </w:drawing>
    </w:r>
  </w:p>
  <w:p>
    <w:pPr>
      <w:pStyle w:val="Header"/>
      <w:jc w:val="center"/>
      <w:rPr/>
    </w:pPr>
    <w:r>
      <w:rPr/>
    </w:r>
  </w:p>
  <w:p>
    <w:pPr>
      <w:pStyle w:val="Header"/>
      <w:jc w:val="center"/>
      <w:rPr/>
    </w:pPr>
    <w:r>
      <w:rPr/>
    </w:r>
  </w:p>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50" w:hanging="360"/>
      </w:pPr>
      <w:rPr>
        <w:rFonts w:ascii="Wingdings" w:hAnsi="Wingdings" w:cs="Wingdings" w:hint="default"/>
      </w:rPr>
    </w:lvl>
    <w:lvl w:ilvl="1">
      <w:start w:val="1"/>
      <w:numFmt w:val="bullet"/>
      <w:lvlText w:val="o"/>
      <w:lvlJc w:val="left"/>
      <w:pPr>
        <w:tabs>
          <w:tab w:val="num" w:pos="0"/>
        </w:tabs>
        <w:ind w:left="1470" w:hanging="360"/>
      </w:pPr>
      <w:rPr>
        <w:rFonts w:ascii="Courier New" w:hAnsi="Courier New" w:cs="Courier New" w:hint="default"/>
      </w:rPr>
    </w:lvl>
    <w:lvl w:ilvl="2">
      <w:start w:val="1"/>
      <w:numFmt w:val="bullet"/>
      <w:lvlText w:val=""/>
      <w:lvlJc w:val="left"/>
      <w:pPr>
        <w:tabs>
          <w:tab w:val="num" w:pos="0"/>
        </w:tabs>
        <w:ind w:left="2190" w:hanging="360"/>
      </w:pPr>
      <w:rPr>
        <w:rFonts w:ascii="Wingdings" w:hAnsi="Wingdings" w:cs="Wingdings" w:hint="default"/>
      </w:rPr>
    </w:lvl>
    <w:lvl w:ilvl="3">
      <w:start w:val="1"/>
      <w:numFmt w:val="bullet"/>
      <w:lvlText w:val=""/>
      <w:lvlJc w:val="left"/>
      <w:pPr>
        <w:tabs>
          <w:tab w:val="num" w:pos="0"/>
        </w:tabs>
        <w:ind w:left="2910" w:hanging="360"/>
      </w:pPr>
      <w:rPr>
        <w:rFonts w:ascii="Symbol" w:hAnsi="Symbol" w:cs="Symbol" w:hint="default"/>
      </w:rPr>
    </w:lvl>
    <w:lvl w:ilvl="4">
      <w:start w:val="1"/>
      <w:numFmt w:val="bullet"/>
      <w:lvlText w:val="o"/>
      <w:lvlJc w:val="left"/>
      <w:pPr>
        <w:tabs>
          <w:tab w:val="num" w:pos="0"/>
        </w:tabs>
        <w:ind w:left="3630" w:hanging="360"/>
      </w:pPr>
      <w:rPr>
        <w:rFonts w:ascii="Courier New" w:hAnsi="Courier New" w:cs="Courier New" w:hint="default"/>
      </w:rPr>
    </w:lvl>
    <w:lvl w:ilvl="5">
      <w:start w:val="1"/>
      <w:numFmt w:val="bullet"/>
      <w:lvlText w:val=""/>
      <w:lvlJc w:val="left"/>
      <w:pPr>
        <w:tabs>
          <w:tab w:val="num" w:pos="0"/>
        </w:tabs>
        <w:ind w:left="4350" w:hanging="360"/>
      </w:pPr>
      <w:rPr>
        <w:rFonts w:ascii="Wingdings" w:hAnsi="Wingdings" w:cs="Wingdings" w:hint="default"/>
      </w:rPr>
    </w:lvl>
    <w:lvl w:ilvl="6">
      <w:start w:val="1"/>
      <w:numFmt w:val="bullet"/>
      <w:lvlText w:val=""/>
      <w:lvlJc w:val="left"/>
      <w:pPr>
        <w:tabs>
          <w:tab w:val="num" w:pos="0"/>
        </w:tabs>
        <w:ind w:left="5070" w:hanging="360"/>
      </w:pPr>
      <w:rPr>
        <w:rFonts w:ascii="Symbol" w:hAnsi="Symbol" w:cs="Symbol" w:hint="default"/>
      </w:rPr>
    </w:lvl>
    <w:lvl w:ilvl="7">
      <w:start w:val="1"/>
      <w:numFmt w:val="bullet"/>
      <w:lvlText w:val="o"/>
      <w:lvlJc w:val="left"/>
      <w:pPr>
        <w:tabs>
          <w:tab w:val="num" w:pos="0"/>
        </w:tabs>
        <w:ind w:left="5790" w:hanging="360"/>
      </w:pPr>
      <w:rPr>
        <w:rFonts w:ascii="Courier New" w:hAnsi="Courier New" w:cs="Courier New" w:hint="default"/>
      </w:rPr>
    </w:lvl>
    <w:lvl w:ilvl="8">
      <w:start w:val="1"/>
      <w:numFmt w:val="bullet"/>
      <w:lvlText w:val=""/>
      <w:lvlJc w:val="left"/>
      <w:pPr>
        <w:tabs>
          <w:tab w:val="num" w:pos="0"/>
        </w:tabs>
        <w:ind w:left="6510" w:hanging="360"/>
      </w:pPr>
      <w:rPr>
        <w:rFonts w:ascii="Wingdings" w:hAnsi="Wingdings" w:cs="Wingdings" w:hint="default"/>
      </w:rPr>
    </w:lvl>
  </w:abstractNum>
  <w:abstractNum w:abstractNumId="3">
    <w:lvl w:ilvl="0">
      <w:start w:val="1"/>
      <w:numFmt w:val="lowerRoman"/>
      <w:lvlText w:val="(%1)"/>
      <w:lvlJc w:val="left"/>
      <w:pPr>
        <w:tabs>
          <w:tab w:val="num" w:pos="0"/>
        </w:tabs>
        <w:ind w:left="1440" w:hanging="360"/>
      </w:pPr>
      <w:rPr/>
    </w:lvl>
    <w:lvl w:ilvl="1">
      <w:start w:val="1"/>
      <w:numFmt w:val="lowerLetter"/>
      <w:lvlText w:val="%2."/>
      <w:lvlJc w:val="left"/>
      <w:pPr>
        <w:tabs>
          <w:tab w:val="num" w:pos="0"/>
        </w:tabs>
        <w:ind w:left="2160" w:hanging="360"/>
      </w:pPr>
      <w:rPr/>
    </w:lvl>
    <w:lvl w:ilvl="2">
      <w:start w:val="1"/>
      <w:numFmt w:val="lowerRoman"/>
      <w:lvlText w:val="%3."/>
      <w:lvlJc w:val="right"/>
      <w:pPr>
        <w:tabs>
          <w:tab w:val="num" w:pos="0"/>
        </w:tabs>
        <w:ind w:left="2880" w:hanging="180"/>
      </w:pPr>
      <w:rPr/>
    </w:lvl>
    <w:lvl w:ilvl="3">
      <w:start w:val="1"/>
      <w:numFmt w:val="decimal"/>
      <w:lvlText w:val="%4."/>
      <w:lvlJc w:val="left"/>
      <w:pPr>
        <w:tabs>
          <w:tab w:val="num" w:pos="0"/>
        </w:tabs>
        <w:ind w:left="3600" w:hanging="360"/>
      </w:pPr>
      <w:rPr/>
    </w:lvl>
    <w:lvl w:ilvl="4">
      <w:start w:val="1"/>
      <w:numFmt w:val="lowerLetter"/>
      <w:lvlText w:val="%5."/>
      <w:lvlJc w:val="left"/>
      <w:pPr>
        <w:tabs>
          <w:tab w:val="num" w:pos="0"/>
        </w:tabs>
        <w:ind w:left="4320" w:hanging="360"/>
      </w:pPr>
      <w:rPr/>
    </w:lvl>
    <w:lvl w:ilvl="5">
      <w:start w:val="1"/>
      <w:numFmt w:val="lowerRoman"/>
      <w:lvlText w:val="%6."/>
      <w:lvlJc w:val="right"/>
      <w:pPr>
        <w:tabs>
          <w:tab w:val="num" w:pos="0"/>
        </w:tabs>
        <w:ind w:left="5040" w:hanging="180"/>
      </w:pPr>
      <w:rPr/>
    </w:lvl>
    <w:lvl w:ilvl="6">
      <w:start w:val="1"/>
      <w:numFmt w:val="decimal"/>
      <w:lvlText w:val="%7."/>
      <w:lvlJc w:val="left"/>
      <w:pPr>
        <w:tabs>
          <w:tab w:val="num" w:pos="0"/>
        </w:tabs>
        <w:ind w:left="5760" w:hanging="360"/>
      </w:pPr>
      <w:rPr/>
    </w:lvl>
    <w:lvl w:ilvl="7">
      <w:start w:val="1"/>
      <w:numFmt w:val="lowerLetter"/>
      <w:lvlText w:val="%8."/>
      <w:lvlJc w:val="left"/>
      <w:pPr>
        <w:tabs>
          <w:tab w:val="num" w:pos="0"/>
        </w:tabs>
        <w:ind w:left="6480" w:hanging="360"/>
      </w:pPr>
      <w:rPr/>
    </w:lvl>
    <w:lvl w:ilvl="8">
      <w:start w:val="1"/>
      <w:numFmt w:val="lowerRoman"/>
      <w:lvlText w:val="%9."/>
      <w:lvlJc w:val="right"/>
      <w:pPr>
        <w:tabs>
          <w:tab w:val="num" w:pos="0"/>
        </w:tabs>
        <w:ind w:left="7200" w:hanging="180"/>
      </w:pPr>
      <w:rPr/>
    </w:lvl>
  </w:abstractNum>
  <w:abstractNum w:abstractNumId="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useWord2013TrackBottomHyphenation" w:uri="http://schemas.microsoft.com/office/word" w:val="1"/>
  </w:compat>
  <w:themeFontLang w:val="tr-T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tr-T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30a0f"/>
    <w:pPr>
      <w:widowControl/>
      <w:suppressAutoHyphens w:val="true"/>
      <w:bidi w:val="0"/>
      <w:spacing w:lineRule="auto" w:line="240" w:before="0" w:after="0"/>
      <w:jc w:val="left"/>
    </w:pPr>
    <w:rPr>
      <w:rFonts w:ascii="Calibri" w:hAnsi="Calibri" w:eastAsia="Calibri" w:cs="Arial" w:asciiTheme="minorHAnsi" w:eastAsiaTheme="minorHAnsi" w:hAnsiTheme="minorHAnsi"/>
      <w:color w:val="auto"/>
      <w:kern w:val="0"/>
      <w:sz w:val="20"/>
      <w:szCs w:val="20"/>
      <w:lang w:val="tr-TR" w:eastAsia="tr-TR" w:bidi="ar-SA"/>
    </w:rPr>
  </w:style>
  <w:style w:type="paragraph" w:styleId="Heading1">
    <w:name w:val="heading 1"/>
    <w:basedOn w:val="Normal"/>
    <w:next w:val="Normal"/>
    <w:link w:val="Balk1Char"/>
    <w:uiPriority w:val="9"/>
    <w:qFormat/>
    <w:rsid w:val="00c77053"/>
    <w:pPr>
      <w:keepNext w:val="true"/>
      <w:keepLines/>
      <w:spacing w:before="480" w:after="0"/>
      <w:outlineLvl w:val="0"/>
    </w:pPr>
    <w:rPr>
      <w:rFonts w:ascii="Cambria" w:hAnsi="Cambria" w:eastAsia=""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Balk2Char"/>
    <w:uiPriority w:val="9"/>
    <w:unhideWhenUsed/>
    <w:qFormat/>
    <w:rsid w:val="00db4c54"/>
    <w:pPr>
      <w:keepNext w:val="true"/>
      <w:keepLines/>
      <w:spacing w:before="200" w:after="0"/>
      <w:outlineLvl w:val="1"/>
    </w:pPr>
    <w:rPr>
      <w:rFonts w:ascii="Cambria" w:hAnsi="Cambria" w:eastAsia="" w:cs="" w:asciiTheme="majorHAnsi" w:cstheme="majorBidi" w:eastAsiaTheme="majorEastAsia" w:hAnsiTheme="majorHAnsi"/>
      <w:b/>
      <w:bCs/>
      <w:color w:themeColor="accent1" w:val="4F81BD"/>
      <w:sz w:val="26"/>
      <w:szCs w:val="26"/>
    </w:rPr>
  </w:style>
  <w:style w:type="character" w:styleId="DefaultParagraphFont" w:default="1">
    <w:name w:val="Default Paragraph Font"/>
    <w:uiPriority w:val="1"/>
    <w:semiHidden/>
    <w:unhideWhenUsed/>
    <w:qFormat/>
    <w:rPr/>
  </w:style>
  <w:style w:type="character" w:styleId="KonuBalChar" w:customStyle="1">
    <w:name w:val="Konu Başlığı Char"/>
    <w:basedOn w:val="DefaultParagraphFont"/>
    <w:uiPriority w:val="10"/>
    <w:qFormat/>
    <w:rsid w:val="00030a0f"/>
    <w:rPr>
      <w:rFonts w:ascii="Cambria" w:hAnsi="Cambria" w:eastAsia="" w:cs="" w:asciiTheme="majorHAnsi" w:cstheme="majorBidi" w:eastAsiaTheme="majorEastAsia" w:hAnsiTheme="majorHAnsi"/>
      <w:color w:themeColor="text2" w:themeShade="bf" w:val="17365D"/>
      <w:spacing w:val="5"/>
      <w:kern w:val="2"/>
      <w:sz w:val="52"/>
      <w:szCs w:val="52"/>
      <w:lang w:eastAsia="tr-TR"/>
    </w:rPr>
  </w:style>
  <w:style w:type="character" w:styleId="BookTitle">
    <w:name w:val="Book Title"/>
    <w:basedOn w:val="DefaultParagraphFont"/>
    <w:uiPriority w:val="33"/>
    <w:qFormat/>
    <w:rsid w:val="00030a0f"/>
    <w:rPr>
      <w:b/>
      <w:bCs/>
      <w:smallCaps/>
      <w:spacing w:val="5"/>
    </w:rPr>
  </w:style>
  <w:style w:type="character" w:styleId="AltyazChar" w:customStyle="1">
    <w:name w:val="Altyazı Char"/>
    <w:basedOn w:val="DefaultParagraphFont"/>
    <w:uiPriority w:val="11"/>
    <w:qFormat/>
    <w:rsid w:val="00030a0f"/>
    <w:rPr>
      <w:rFonts w:ascii="Cambria" w:hAnsi="Cambria" w:eastAsia="" w:cs="" w:asciiTheme="majorHAnsi" w:cstheme="majorBidi" w:eastAsiaTheme="majorEastAsia" w:hAnsiTheme="majorHAnsi"/>
      <w:i/>
      <w:iCs/>
      <w:color w:themeColor="accent1" w:val="4F81BD"/>
      <w:spacing w:val="15"/>
      <w:sz w:val="24"/>
      <w:szCs w:val="24"/>
      <w:lang w:eastAsia="tr-TR"/>
    </w:rPr>
  </w:style>
  <w:style w:type="character" w:styleId="Balk2Char" w:customStyle="1">
    <w:name w:val="Başlık 2 Char"/>
    <w:basedOn w:val="DefaultParagraphFont"/>
    <w:uiPriority w:val="9"/>
    <w:qFormat/>
    <w:rsid w:val="00db4c54"/>
    <w:rPr>
      <w:rFonts w:ascii="Cambria" w:hAnsi="Cambria" w:eastAsia="" w:cs="" w:asciiTheme="majorHAnsi" w:cstheme="majorBidi" w:eastAsiaTheme="majorEastAsia" w:hAnsiTheme="majorHAnsi"/>
      <w:b/>
      <w:bCs/>
      <w:color w:themeColor="accent1" w:val="4F81BD"/>
      <w:sz w:val="26"/>
      <w:szCs w:val="26"/>
      <w:lang w:eastAsia="tr-TR"/>
    </w:rPr>
  </w:style>
  <w:style w:type="character" w:styleId="Hyperlink">
    <w:name w:val="Hyperlink"/>
    <w:uiPriority w:val="99"/>
    <w:unhideWhenUsed/>
    <w:rsid w:val="002722bd"/>
    <w:rPr>
      <w:color w:val="0563C1"/>
      <w:u w:val="single"/>
    </w:rPr>
  </w:style>
  <w:style w:type="character" w:styleId="Balk1Char" w:customStyle="1">
    <w:name w:val="Başlık 1 Char"/>
    <w:basedOn w:val="DefaultParagraphFont"/>
    <w:uiPriority w:val="9"/>
    <w:qFormat/>
    <w:rsid w:val="00c77053"/>
    <w:rPr>
      <w:rFonts w:ascii="Cambria" w:hAnsi="Cambria" w:eastAsia="" w:cs="" w:asciiTheme="majorHAnsi" w:cstheme="majorBidi" w:eastAsiaTheme="majorEastAsia" w:hAnsiTheme="majorHAnsi"/>
      <w:b/>
      <w:bCs/>
      <w:color w:themeColor="accent1" w:themeShade="bf" w:val="365F91"/>
      <w:sz w:val="28"/>
      <w:szCs w:val="28"/>
      <w:lang w:eastAsia="tr-TR"/>
    </w:rPr>
  </w:style>
  <w:style w:type="character" w:styleId="stBilgiChar" w:customStyle="1">
    <w:name w:val="Üst Bilgi Char"/>
    <w:basedOn w:val="DefaultParagraphFont"/>
    <w:uiPriority w:val="99"/>
    <w:qFormat/>
    <w:rsid w:val="00971907"/>
    <w:rPr>
      <w:rFonts w:ascii="Calibri" w:hAnsi="Calibri" w:eastAsia="Calibri" w:cs="Arial"/>
      <w:sz w:val="20"/>
      <w:szCs w:val="20"/>
      <w:lang w:eastAsia="tr-TR"/>
    </w:rPr>
  </w:style>
  <w:style w:type="character" w:styleId="AltBilgiChar" w:customStyle="1">
    <w:name w:val="Alt Bilgi Char"/>
    <w:basedOn w:val="DefaultParagraphFont"/>
    <w:uiPriority w:val="99"/>
    <w:qFormat/>
    <w:rsid w:val="00971907"/>
    <w:rPr>
      <w:rFonts w:ascii="Calibri" w:hAnsi="Calibri" w:eastAsia="Calibri" w:cs="Arial"/>
      <w:sz w:val="20"/>
      <w:szCs w:val="20"/>
      <w:lang w:eastAsia="tr-TR"/>
    </w:rPr>
  </w:style>
  <w:style w:type="character" w:styleId="BalonMetniChar" w:customStyle="1">
    <w:name w:val="Balon Metni Char"/>
    <w:basedOn w:val="DefaultParagraphFont"/>
    <w:link w:val="BalloonText"/>
    <w:uiPriority w:val="99"/>
    <w:semiHidden/>
    <w:qFormat/>
    <w:rsid w:val="00971907"/>
    <w:rPr>
      <w:rFonts w:ascii="Tahoma" w:hAnsi="Tahoma" w:eastAsia="Calibri" w:cs="Tahoma"/>
      <w:sz w:val="16"/>
      <w:szCs w:val="16"/>
      <w:lang w:eastAsia="tr-TR"/>
    </w:rPr>
  </w:style>
  <w:style w:type="paragraph" w:styleId="Balk">
    <w:name w:val="Başlı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Dizin">
    <w:name w:val="Dizin"/>
    <w:basedOn w:val="Normal"/>
    <w:qFormat/>
    <w:pPr>
      <w:suppressLineNumbers/>
    </w:pPr>
    <w:rPr>
      <w:rFonts w:cs="Lucida Sans"/>
    </w:rPr>
  </w:style>
  <w:style w:type="paragraph" w:styleId="Balkuser">
    <w:name w:val="Başlık (user)"/>
    <w:basedOn w:val="Normal"/>
    <w:next w:val="BodyText"/>
    <w:qFormat/>
    <w:pPr>
      <w:keepNext w:val="true"/>
      <w:spacing w:before="240" w:after="120"/>
    </w:pPr>
    <w:rPr>
      <w:rFonts w:ascii="Liberation Sans" w:hAnsi="Liberation Sans" w:eastAsia="Microsoft YaHei" w:cs="Lucida Sans"/>
      <w:sz w:val="28"/>
      <w:szCs w:val="28"/>
    </w:rPr>
  </w:style>
  <w:style w:type="paragraph" w:styleId="Dizinuser">
    <w:name w:val="Dizin (user)"/>
    <w:basedOn w:val="Normal"/>
    <w:qFormat/>
    <w:pPr>
      <w:suppressLineNumbers/>
    </w:pPr>
    <w:rPr>
      <w:rFonts w:cs="Lucida Sans"/>
    </w:rPr>
  </w:style>
  <w:style w:type="paragraph" w:styleId="Title">
    <w:name w:val="Title"/>
    <w:basedOn w:val="Normal"/>
    <w:next w:val="Normal"/>
    <w:link w:val="KonuBalChar"/>
    <w:uiPriority w:val="10"/>
    <w:qFormat/>
    <w:rsid w:val="00030a0f"/>
    <w:pPr>
      <w:pBdr>
        <w:bottom w:val="single" w:sz="8" w:space="4" w:color="4F81BD" w:themeColor="accent1"/>
      </w:pBdr>
      <w:spacing w:before="0" w:after="300"/>
      <w:contextualSpacing/>
    </w:pPr>
    <w:rPr>
      <w:rFonts w:ascii="Cambria" w:hAnsi="Cambria" w:eastAsia="" w:cs="" w:asciiTheme="majorHAnsi" w:cstheme="majorBidi" w:eastAsiaTheme="majorEastAsia" w:hAnsiTheme="majorHAnsi"/>
      <w:color w:themeColor="text2" w:themeShade="bf" w:val="17365D"/>
      <w:spacing w:val="5"/>
      <w:kern w:val="2"/>
      <w:sz w:val="52"/>
      <w:szCs w:val="52"/>
    </w:rPr>
  </w:style>
  <w:style w:type="paragraph" w:styleId="Default" w:customStyle="1">
    <w:name w:val="Default"/>
    <w:qFormat/>
    <w:rsid w:val="00030a0f"/>
    <w:pPr>
      <w:widowControl/>
      <w:suppressAutoHyphens w:val="true"/>
      <w:bidi w:val="0"/>
      <w:spacing w:lineRule="auto" w:line="240" w:before="0" w:after="0"/>
      <w:jc w:val="left"/>
    </w:pPr>
    <w:rPr>
      <w:rFonts w:ascii="Cambria" w:hAnsi="Cambria" w:eastAsia="Calibri" w:cs="Cambria"/>
      <w:color w:val="000000"/>
      <w:kern w:val="0"/>
      <w:sz w:val="24"/>
      <w:szCs w:val="24"/>
      <w:lang w:val="tr-TR" w:eastAsia="en-US" w:bidi="ar-SA"/>
    </w:rPr>
  </w:style>
  <w:style w:type="paragraph" w:styleId="Subtitle">
    <w:name w:val="Subtitle"/>
    <w:basedOn w:val="Normal"/>
    <w:next w:val="Normal"/>
    <w:link w:val="AltyazChar"/>
    <w:uiPriority w:val="11"/>
    <w:qFormat/>
    <w:rsid w:val="00030a0f"/>
    <w:pPr/>
    <w:rPr>
      <w:rFonts w:ascii="Cambria" w:hAnsi="Cambria" w:eastAsia=""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e51fef"/>
    <w:pPr>
      <w:spacing w:before="0" w:after="0"/>
      <w:ind w:left="720"/>
      <w:contextualSpacing/>
    </w:pPr>
    <w:rPr/>
  </w:style>
  <w:style w:type="paragraph" w:styleId="stBilgiveAltBilgi">
    <w:name w:val="Üst Bilgi ve Alt Bilgi"/>
    <w:basedOn w:val="Normal"/>
    <w:qFormat/>
    <w:pPr/>
    <w:rPr/>
  </w:style>
  <w:style w:type="paragraph" w:styleId="stBilgiveAltBilgiuser">
    <w:name w:val="Üst Bilgi ve Alt Bilgi (user)"/>
    <w:basedOn w:val="Normal"/>
    <w:qFormat/>
    <w:pPr/>
    <w:rPr/>
  </w:style>
  <w:style w:type="paragraph" w:styleId="Header">
    <w:name w:val="header"/>
    <w:basedOn w:val="Normal"/>
    <w:link w:val="stBilgiChar"/>
    <w:uiPriority w:val="99"/>
    <w:unhideWhenUsed/>
    <w:rsid w:val="00971907"/>
    <w:pPr>
      <w:tabs>
        <w:tab w:val="clear" w:pos="708"/>
        <w:tab w:val="center" w:pos="4536" w:leader="none"/>
        <w:tab w:val="right" w:pos="9072" w:leader="none"/>
      </w:tabs>
    </w:pPr>
    <w:rPr/>
  </w:style>
  <w:style w:type="paragraph" w:styleId="Footer">
    <w:name w:val="footer"/>
    <w:basedOn w:val="Normal"/>
    <w:link w:val="AltBilgiChar"/>
    <w:uiPriority w:val="99"/>
    <w:unhideWhenUsed/>
    <w:rsid w:val="00971907"/>
    <w:pPr>
      <w:tabs>
        <w:tab w:val="clear" w:pos="708"/>
        <w:tab w:val="center" w:pos="4536" w:leader="none"/>
        <w:tab w:val="right" w:pos="9072" w:leader="none"/>
      </w:tabs>
    </w:pPr>
    <w:rPr/>
  </w:style>
  <w:style w:type="paragraph" w:styleId="BalloonText">
    <w:name w:val="Balloon Text"/>
    <w:basedOn w:val="Normal"/>
    <w:link w:val="BalonMetniChar"/>
    <w:uiPriority w:val="99"/>
    <w:semiHidden/>
    <w:unhideWhenUsed/>
    <w:qFormat/>
    <w:rsid w:val="00971907"/>
    <w:pPr/>
    <w:rPr>
      <w:rFonts w:ascii="Tahoma" w:hAnsi="Tahoma" w:cs="Tahoma"/>
      <w:sz w:val="16"/>
      <w:szCs w:val="16"/>
    </w:rPr>
  </w:style>
  <w:style w:type="numbering" w:styleId="ListeYok" w:default="1">
    <w:name w:val="Liste Yok"/>
    <w:uiPriority w:val="99"/>
    <w:semiHidden/>
    <w:unhideWhenUsed/>
    <w:qFormat/>
  </w:style>
  <w:style w:type="table" w:default="1" w:styleId="NormalTablo">
    <w:name w:val="Normal Table"/>
    <w:uiPriority w:val="99"/>
    <w:semiHidden/>
    <w:unhideWhenUsed/>
    <w:tblPr>
      <w:tblCellMar>
        <w:top w:w="0" w:type="dxa"/>
        <w:left w:w="108" w:type="dxa"/>
        <w:bottom w:w="0" w:type="dxa"/>
        <w:right w:w="108" w:type="dxa"/>
      </w:tblCellMar>
    </w:tblPr>
  </w:style>
  <w:style w:type="table" w:styleId="TabloKlavuzu">
    <w:name w:val="Table Grid"/>
    <w:basedOn w:val="NormalTablo"/>
    <w:uiPriority w:val="59"/>
    <w:rsid w:val="006424d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fo@seyrankoltuk.com.tr"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is Teması">
  <a:themeElements>
    <a:clrScheme name="Ofis">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825A2-8D65-46C9-81C4-5279F177D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Application>LibreOffice/24.8.6.2$Windows_X86_64 LibreOffice_project/6d98ba145e9a8a39fc57bcc76981d1fb1316c60c</Application>
  <AppVersion>15.0000</AppVersion>
  <Pages>15</Pages>
  <Words>3622</Words>
  <Characters>26113</Characters>
  <CharactersWithSpaces>29554</CharactersWithSpaces>
  <Paragraphs>207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2020-02-16T18:23:00Z</dcterms:created>
  <dc:creator>Pc</dc:creator>
  <dc:description/>
  <dc:language>tr-TR</dc:language>
  <cp:lastModifiedBy/>
  <dcterms:modified xsi:type="dcterms:W3CDTF">2025-05-08T11:36:13Z</dcterms:modified>
  <cp:revision>28</cp:revision>
  <dc:subject/>
  <dc:title/>
</cp:coreProperties>
</file>

<file path=docProps/custom.xml><?xml version="1.0" encoding="utf-8"?>
<Properties xmlns="http://schemas.openxmlformats.org/officeDocument/2006/custom-properties" xmlns:vt="http://schemas.openxmlformats.org/officeDocument/2006/docPropsVTypes"/>
</file>